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bookmarkStart w:id="9" w:name="_GoBack"/>
      <w:bookmarkEnd w:id="9"/>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R4-2</w:t>
      </w:r>
      <w:r>
        <w:rPr>
          <w:rFonts w:hint="eastAsia" w:eastAsia="宋体"/>
          <w:b/>
          <w:sz w:val="24"/>
          <w:szCs w:val="24"/>
          <w:highlight w:val="none"/>
          <w:lang w:val="en-US" w:eastAsia="zh-CN"/>
        </w:rPr>
        <w:t>503775</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2.1</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8"/>
      <w:bookmarkStart w:id="5" w:name="OLE_LINK7"/>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RAN4 impacts for RRM measurement prediction</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8A7EA0D">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5CB11B01">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46918C9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0DDA5A8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2F32914E">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60C3DB0A">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RAN4 impacts for RRM measurement prediction</w:t>
      </w:r>
      <w:r>
        <w:rPr>
          <w:rFonts w:hint="eastAsia" w:ascii="Times New Roman" w:hAnsi="Times New Roman"/>
          <w:sz w:val="20"/>
          <w:szCs w:val="20"/>
        </w:rPr>
        <w:t>.</w:t>
      </w:r>
    </w:p>
    <w:p w14:paraId="17263EFA">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1"/>
      <w:bookmarkStart w:id="8" w:name="OLE_LINK2"/>
      <w:r>
        <w:rPr>
          <w:rFonts w:ascii="Times New Roman" w:hAnsi="Times New Roman"/>
          <w:i/>
          <w:sz w:val="20"/>
          <w:szCs w:val="20"/>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9B5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8B4D3F6">
            <w:pPr>
              <w:rPr>
                <w:rFonts w:hint="default" w:ascii="Times New Roman" w:hAnsi="Times New Roman" w:eastAsia="MS Mincho" w:cs="Times New Roman"/>
                <w:b/>
                <w:bCs/>
                <w:sz w:val="20"/>
                <w:szCs w:val="20"/>
                <w:highlight w:val="none"/>
                <w:u w:val="single"/>
                <w:lang w:eastAsia="zh-CN"/>
              </w:rPr>
            </w:pPr>
            <w:r>
              <w:rPr>
                <w:rFonts w:hint="default" w:ascii="Times New Roman" w:hAnsi="Times New Roman" w:eastAsia="MS Mincho" w:cs="Times New Roman"/>
                <w:b/>
                <w:bCs/>
                <w:sz w:val="20"/>
                <w:szCs w:val="20"/>
                <w:highlight w:val="none"/>
                <w:u w:val="single"/>
                <w:lang w:eastAsia="zh-CN"/>
              </w:rPr>
              <w:t>Issue 2-1-1a: Relative RSRP Prediction Accuracy</w:t>
            </w:r>
          </w:p>
          <w:p w14:paraId="5547B3D0">
            <w:pPr>
              <w:spacing w:after="120"/>
              <w:rPr>
                <w:rFonts w:hint="default" w:ascii="Times New Roman" w:hAnsi="Times New Roman" w:cs="Times New Roman"/>
                <w:color w:val="000000" w:themeColor="text1"/>
                <w:sz w:val="20"/>
                <w:szCs w:val="20"/>
                <w:highlight w:val="none"/>
                <w:lang w:eastAsia="zh-CN"/>
                <w14:textFill>
                  <w14:solidFill>
                    <w14:schemeClr w14:val="tx1"/>
                  </w14:solidFill>
                </w14:textFill>
              </w:rPr>
            </w:pPr>
            <w:r>
              <w:rPr>
                <w:rFonts w:hint="default" w:ascii="Times New Roman" w:hAnsi="Times New Roman" w:cs="Times New Roman"/>
                <w:color w:val="000000" w:themeColor="text1"/>
                <w:sz w:val="20"/>
                <w:szCs w:val="20"/>
                <w:highlight w:val="none"/>
                <w:lang w:eastAsia="zh-CN"/>
                <w14:textFill>
                  <w14:solidFill>
                    <w14:schemeClr w14:val="tx1"/>
                  </w14:solidFill>
                </w14:textFill>
              </w:rPr>
              <w:t>Agreement:</w:t>
            </w:r>
          </w:p>
          <w:p w14:paraId="3ACA0A9B">
            <w:pPr>
              <w:pStyle w:val="12"/>
              <w:numPr>
                <w:ilvl w:val="0"/>
                <w:numId w:val="4"/>
              </w:numPr>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Predicted relative RSRP accuracy = (reported predicted RSRP of cell 1/beam1 – reported RSRP of cell 2/beam2) – (ground truth of RSRP of cell 1/beam1 – ground truth of RSRP of cell 2/beam2)</w:t>
            </w:r>
          </w:p>
          <w:p w14:paraId="7405A031">
            <w:pPr>
              <w:pStyle w:val="12"/>
              <w:numPr>
                <w:ilvl w:val="1"/>
                <w:numId w:val="4"/>
              </w:numPr>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FFS: Beam 1 and Beam 2 can be from same cell or different cells.</w:t>
            </w:r>
          </w:p>
          <w:p w14:paraId="16DF675F">
            <w:pPr>
              <w:pStyle w:val="12"/>
              <w:numPr>
                <w:ilvl w:val="1"/>
                <w:numId w:val="4"/>
              </w:numPr>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FFS: whether ground truth can be reported or ideal</w:t>
            </w:r>
          </w:p>
          <w:p w14:paraId="63426072">
            <w:pPr>
              <w:pStyle w:val="12"/>
              <w:numPr>
                <w:ilvl w:val="1"/>
                <w:numId w:val="4"/>
              </w:numPr>
              <w:ind w:firstLineChars="0"/>
              <w:rPr>
                <w:rFonts w:hint="default" w:ascii="Times New Roman" w:hAnsi="Times New Roman" w:cs="Times New Roman"/>
                <w:b/>
                <w:bCs w:val="0"/>
                <w:i/>
                <w:iCs w:val="0"/>
                <w:sz w:val="20"/>
                <w:szCs w:val="20"/>
                <w:highlight w:val="none"/>
                <w:vertAlign w:val="baseline"/>
                <w:lang w:val="en-US" w:eastAsia="zh-CN"/>
              </w:rPr>
            </w:pPr>
            <w:r>
              <w:rPr>
                <w:rFonts w:hint="default" w:ascii="Times New Roman" w:hAnsi="Times New Roman" w:eastAsia="Yu Mincho" w:cs="Times New Roman"/>
                <w:sz w:val="20"/>
                <w:szCs w:val="20"/>
                <w:highlight w:val="none"/>
              </w:rPr>
              <w:t>FFS: whether the reported RSRP of cell2/beam2 can be predicted or measured or a combination of both predicted and measured samples</w:t>
            </w:r>
            <w:r>
              <w:rPr>
                <w:rFonts w:hint="default" w:ascii="Times New Roman" w:hAnsi="Times New Roman" w:cs="Times New Roman"/>
                <w:color w:val="000000" w:themeColor="text1"/>
                <w:sz w:val="20"/>
                <w:szCs w:val="20"/>
                <w:highlight w:val="none"/>
                <w:lang w:eastAsia="zh-CN"/>
                <w14:textFill>
                  <w14:solidFill>
                    <w14:schemeClr w14:val="tx1"/>
                  </w14:solidFill>
                </w14:textFill>
              </w:rPr>
              <w:t>.</w:t>
            </w:r>
          </w:p>
        </w:tc>
      </w:tr>
    </w:tbl>
    <w:p w14:paraId="7F239577">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p>
    <w:p w14:paraId="3C1C5BC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Yu Mincho" w:cs="Times New Roman"/>
          <w:sz w:val="20"/>
          <w:szCs w:val="20"/>
        </w:rPr>
      </w:pPr>
      <w:r>
        <w:rPr>
          <w:rFonts w:hint="eastAsia" w:ascii="Times New Roman" w:hAnsi="Times New Roman" w:eastAsia="等线" w:cs="Times New Roman"/>
          <w:bCs/>
          <w:iCs/>
          <w:sz w:val="20"/>
          <w:szCs w:val="20"/>
          <w:lang w:val="en-US" w:eastAsia="zh-CN"/>
        </w:rPr>
        <w:t xml:space="preserve">In RAN4 #112bis meeting, it was agreed that RAN4 to start the discussion for scenario 2, 3, 4. For each scenario, </w:t>
      </w:r>
      <w:r>
        <w:rPr>
          <w:rFonts w:hint="default" w:ascii="Times New Roman" w:hAnsi="Times New Roman" w:cs="Times New Roman"/>
          <w:color w:val="000000" w:themeColor="text1"/>
          <w:sz w:val="20"/>
          <w:szCs w:val="20"/>
          <w14:textFill>
            <w14:solidFill>
              <w14:schemeClr w14:val="tx1"/>
            </w14:solidFill>
          </w14:textFill>
        </w:rPr>
        <w:t>following sub-use cases were agreed for RRM measurement prediction:</w:t>
      </w:r>
    </w:p>
    <w:p w14:paraId="26FA6406">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Sub-use case 1: L1 beam-level measurement result(s) is predicted based on actual L1 beam-level measurement result(s) and then L3 cell-level measurement result is generated </w:t>
      </w:r>
    </w:p>
    <w:p w14:paraId="6EDBF585">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Sub-use case 2: L3 Cell-level measurement result(s) is predicted based on actual L3 cell-level measurement result(s)</w:t>
      </w:r>
    </w:p>
    <w:p w14:paraId="0766EA21">
      <w:pPr>
        <w:pStyle w:val="12"/>
        <w:keepNext w:val="0"/>
        <w:keepLines w:val="0"/>
        <w:pageBreakBefore w:val="0"/>
        <w:widowControl/>
        <w:numPr>
          <w:ilvl w:val="0"/>
          <w:numId w:val="5"/>
        </w:numPr>
        <w:kinsoku/>
        <w:wordWrap/>
        <w:overflowPunct/>
        <w:topLinePunct w:val="0"/>
        <w:autoSpaceDE/>
        <w:autoSpaceDN/>
        <w:bidi w:val="0"/>
        <w:adjustRightInd/>
        <w:snapToGrid/>
        <w:spacing w:before="120" w:after="120"/>
        <w:ind w:left="420" w:leftChars="0" w:hanging="420" w:firstLineChars="0"/>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Sub-use case 3: L3 Cell-level measurement result(s) is predicted based on actual L1 beam-level measurement result(s)</w:t>
      </w:r>
    </w:p>
    <w:p w14:paraId="22F0613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 xml:space="preserve">As for whether </w:t>
      </w:r>
      <w:r>
        <w:rPr>
          <w:rFonts w:hint="default" w:ascii="Times New Roman" w:hAnsi="Times New Roman" w:eastAsia="等线" w:cs="Times New Roman"/>
          <w:bCs/>
          <w:iCs/>
          <w:sz w:val="20"/>
          <w:szCs w:val="20"/>
          <w:lang w:val="en-US" w:eastAsia="zh-CN"/>
        </w:rPr>
        <w:t>Beam 1 and Beam 2 can be from same cell or different cells</w:t>
      </w:r>
      <w:r>
        <w:rPr>
          <w:rFonts w:hint="eastAsia" w:ascii="Times New Roman" w:hAnsi="Times New Roman" w:eastAsia="等线" w:cs="Times New Roman"/>
          <w:bCs/>
          <w:iCs/>
          <w:sz w:val="20"/>
          <w:szCs w:val="20"/>
          <w:lang w:val="en-US" w:eastAsia="zh-CN"/>
        </w:rPr>
        <w:t>, it can be discussed scenario by scenario</w:t>
      </w:r>
      <w:r>
        <w:rPr>
          <w:rFonts w:hint="default" w:ascii="Times New Roman" w:hAnsi="Times New Roman" w:eastAsia="等线" w:cs="Times New Roman"/>
          <w:bCs/>
          <w:iCs/>
          <w:sz w:val="20"/>
          <w:szCs w:val="20"/>
          <w:lang w:val="en-US" w:eastAsia="zh-CN"/>
        </w:rPr>
        <w:t>.</w:t>
      </w:r>
      <w:r>
        <w:rPr>
          <w:rFonts w:hint="eastAsia" w:ascii="Times New Roman" w:hAnsi="Times New Roman" w:eastAsia="等线" w:cs="Times New Roman"/>
          <w:bCs/>
          <w:iCs/>
          <w:sz w:val="20"/>
          <w:szCs w:val="20"/>
          <w:lang w:val="en-US" w:eastAsia="zh-CN"/>
        </w:rPr>
        <w:t xml:space="preserve"> For scenario 2 and 4, it is for intra-cell according to RAN2 agreements, which means the </w:t>
      </w:r>
      <w:r>
        <w:rPr>
          <w:rFonts w:hint="default" w:ascii="Times New Roman" w:hAnsi="Times New Roman" w:eastAsia="等线" w:cs="Times New Roman"/>
          <w:bCs/>
          <w:iCs/>
          <w:sz w:val="20"/>
          <w:szCs w:val="20"/>
          <w:lang w:val="en-US" w:eastAsia="zh-CN"/>
        </w:rPr>
        <w:t xml:space="preserve">Beam 1 and Beam 2 </w:t>
      </w:r>
      <w:r>
        <w:rPr>
          <w:rFonts w:hint="eastAsia" w:ascii="Times New Roman" w:hAnsi="Times New Roman" w:eastAsia="等线" w:cs="Times New Roman"/>
          <w:bCs/>
          <w:iCs/>
          <w:sz w:val="20"/>
          <w:szCs w:val="20"/>
          <w:lang w:val="en-US" w:eastAsia="zh-CN"/>
        </w:rPr>
        <w:t>are</w:t>
      </w:r>
      <w:r>
        <w:rPr>
          <w:rFonts w:hint="default" w:ascii="Times New Roman" w:hAnsi="Times New Roman" w:eastAsia="等线" w:cs="Times New Roman"/>
          <w:bCs/>
          <w:iCs/>
          <w:sz w:val="20"/>
          <w:szCs w:val="20"/>
          <w:lang w:val="en-US" w:eastAsia="zh-CN"/>
        </w:rPr>
        <w:t xml:space="preserve"> from same cell</w:t>
      </w:r>
      <w:r>
        <w:rPr>
          <w:rFonts w:hint="eastAsia" w:ascii="Times New Roman" w:hAnsi="Times New Roman" w:eastAsia="等线" w:cs="Times New Roman"/>
          <w:bCs/>
          <w:iCs/>
          <w:sz w:val="20"/>
          <w:szCs w:val="20"/>
          <w:lang w:val="en-US" w:eastAsia="zh-CN"/>
        </w:rPr>
        <w:t xml:space="preserve">. For scenario 3, it is for inter-cell, which means the </w:t>
      </w:r>
      <w:r>
        <w:rPr>
          <w:rFonts w:hint="default" w:ascii="Times New Roman" w:hAnsi="Times New Roman" w:eastAsia="等线" w:cs="Times New Roman"/>
          <w:bCs/>
          <w:iCs/>
          <w:sz w:val="20"/>
          <w:szCs w:val="20"/>
          <w:lang w:val="en-US" w:eastAsia="zh-CN"/>
        </w:rPr>
        <w:t xml:space="preserve">Beam 1 and Beam 2 </w:t>
      </w:r>
      <w:r>
        <w:rPr>
          <w:rFonts w:hint="eastAsia" w:ascii="Times New Roman" w:hAnsi="Times New Roman" w:eastAsia="等线" w:cs="Times New Roman"/>
          <w:bCs/>
          <w:iCs/>
          <w:sz w:val="20"/>
          <w:szCs w:val="20"/>
          <w:lang w:val="en-US" w:eastAsia="zh-CN"/>
        </w:rPr>
        <w:t>are</w:t>
      </w:r>
      <w:r>
        <w:rPr>
          <w:rFonts w:hint="default" w:ascii="Times New Roman" w:hAnsi="Times New Roman" w:eastAsia="等线" w:cs="Times New Roman"/>
          <w:bCs/>
          <w:iCs/>
          <w:sz w:val="20"/>
          <w:szCs w:val="20"/>
          <w:lang w:val="en-US" w:eastAsia="zh-CN"/>
        </w:rPr>
        <w:t xml:space="preserve"> from </w:t>
      </w:r>
      <w:r>
        <w:rPr>
          <w:rFonts w:hint="eastAsia" w:ascii="Times New Roman" w:hAnsi="Times New Roman" w:eastAsia="等线" w:cs="Times New Roman"/>
          <w:bCs/>
          <w:iCs/>
          <w:sz w:val="20"/>
          <w:szCs w:val="20"/>
          <w:lang w:val="en-US" w:eastAsia="zh-CN"/>
        </w:rPr>
        <w:t>different</w:t>
      </w:r>
      <w:r>
        <w:rPr>
          <w:rFonts w:hint="default" w:ascii="Times New Roman" w:hAnsi="Times New Roman" w:eastAsia="等线" w:cs="Times New Roman"/>
          <w:bCs/>
          <w:iCs/>
          <w:sz w:val="20"/>
          <w:szCs w:val="20"/>
          <w:lang w:val="en-US" w:eastAsia="zh-CN"/>
        </w:rPr>
        <w:t xml:space="preserve"> cell</w:t>
      </w:r>
      <w:r>
        <w:rPr>
          <w:rFonts w:hint="eastAsia" w:ascii="Times New Roman" w:hAnsi="Times New Roman" w:eastAsia="等线" w:cs="Times New Roman"/>
          <w:bCs/>
          <w:iCs/>
          <w:sz w:val="20"/>
          <w:szCs w:val="20"/>
          <w:lang w:val="en-US" w:eastAsia="zh-CN"/>
        </w:rPr>
        <w:t xml:space="preserve">. </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vertAlign w:val="superscript"/>
              </w:rPr>
            </w:pPr>
            <w:r>
              <w:rPr>
                <w:rFonts w:hint="default" w:ascii="Times New Roman" w:hAnsi="Times New Roman" w:eastAsia="Yu Mincho" w:cs="Times New Roman"/>
                <w:sz w:val="20"/>
                <w:szCs w:val="20"/>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36E705E5">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p>
    <w:p w14:paraId="48AA3EA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Proposal 1: for relative RSRP prediction accuracy, it is proposed that Beam 1 and Beam 2 can be from same cell or different cells</w:t>
      </w:r>
    </w:p>
    <w:p w14:paraId="39ACCA43">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For scenario 2 and 4, </w:t>
      </w:r>
      <w:r>
        <w:rPr>
          <w:rFonts w:hint="default" w:ascii="Times New Roman" w:hAnsi="Times New Roman" w:eastAsia="等线" w:cs="Times New Roman"/>
          <w:b/>
          <w:bCs w:val="0"/>
          <w:i/>
          <w:iCs w:val="0"/>
          <w:sz w:val="20"/>
          <w:szCs w:val="20"/>
          <w:lang w:val="en-US" w:eastAsia="zh-CN"/>
        </w:rPr>
        <w:t xml:space="preserve">Beam 1 and Beam 2 </w:t>
      </w:r>
      <w:r>
        <w:rPr>
          <w:rFonts w:hint="eastAsia" w:ascii="Times New Roman" w:hAnsi="Times New Roman" w:eastAsia="等线" w:cs="Times New Roman"/>
          <w:b/>
          <w:bCs w:val="0"/>
          <w:i/>
          <w:iCs w:val="0"/>
          <w:sz w:val="20"/>
          <w:szCs w:val="20"/>
          <w:lang w:val="en-US" w:eastAsia="zh-CN"/>
        </w:rPr>
        <w:t>are</w:t>
      </w:r>
      <w:r>
        <w:rPr>
          <w:rFonts w:hint="default" w:ascii="Times New Roman" w:hAnsi="Times New Roman" w:eastAsia="等线" w:cs="Times New Roman"/>
          <w:b/>
          <w:bCs w:val="0"/>
          <w:i/>
          <w:iCs w:val="0"/>
          <w:sz w:val="20"/>
          <w:szCs w:val="20"/>
          <w:lang w:val="en-US" w:eastAsia="zh-CN"/>
        </w:rPr>
        <w:t xml:space="preserve"> from same cell</w:t>
      </w:r>
    </w:p>
    <w:p w14:paraId="10996910">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For scenario 3, </w:t>
      </w:r>
      <w:r>
        <w:rPr>
          <w:rFonts w:hint="default" w:ascii="Times New Roman" w:hAnsi="Times New Roman" w:eastAsia="等线" w:cs="Times New Roman"/>
          <w:b/>
          <w:bCs w:val="0"/>
          <w:i/>
          <w:iCs w:val="0"/>
          <w:sz w:val="20"/>
          <w:szCs w:val="20"/>
          <w:lang w:val="en-US" w:eastAsia="zh-CN"/>
        </w:rPr>
        <w:t xml:space="preserve">Beam 1 and Beam 2 </w:t>
      </w:r>
      <w:r>
        <w:rPr>
          <w:rFonts w:hint="eastAsia" w:ascii="Times New Roman" w:hAnsi="Times New Roman" w:eastAsia="等线" w:cs="Times New Roman"/>
          <w:b/>
          <w:bCs w:val="0"/>
          <w:i/>
          <w:iCs w:val="0"/>
          <w:sz w:val="20"/>
          <w:szCs w:val="20"/>
          <w:lang w:val="en-US" w:eastAsia="zh-CN"/>
        </w:rPr>
        <w:t>are</w:t>
      </w:r>
      <w:r>
        <w:rPr>
          <w:rFonts w:hint="default" w:ascii="Times New Roman" w:hAnsi="Times New Roman" w:eastAsia="等线" w:cs="Times New Roman"/>
          <w:b/>
          <w:bCs w:val="0"/>
          <w:i/>
          <w:iCs w:val="0"/>
          <w:sz w:val="20"/>
          <w:szCs w:val="20"/>
          <w:lang w:val="en-US" w:eastAsia="zh-CN"/>
        </w:rPr>
        <w:t xml:space="preserve"> from </w:t>
      </w:r>
      <w:r>
        <w:rPr>
          <w:rFonts w:hint="eastAsia" w:ascii="Times New Roman" w:hAnsi="Times New Roman" w:eastAsia="等线" w:cs="Times New Roman"/>
          <w:b/>
          <w:bCs w:val="0"/>
          <w:i/>
          <w:iCs w:val="0"/>
          <w:sz w:val="20"/>
          <w:szCs w:val="20"/>
          <w:lang w:val="en-US" w:eastAsia="zh-CN"/>
        </w:rPr>
        <w:t>different</w:t>
      </w:r>
      <w:r>
        <w:rPr>
          <w:rFonts w:hint="default" w:ascii="Times New Roman" w:hAnsi="Times New Roman" w:eastAsia="等线" w:cs="Times New Roman"/>
          <w:b/>
          <w:bCs w:val="0"/>
          <w:i/>
          <w:iCs w:val="0"/>
          <w:sz w:val="20"/>
          <w:szCs w:val="20"/>
          <w:lang w:val="en-US" w:eastAsia="zh-CN"/>
        </w:rPr>
        <w:t xml:space="preserve"> cell</w:t>
      </w:r>
      <w:r>
        <w:rPr>
          <w:rFonts w:hint="eastAsia" w:ascii="Times New Roman" w:hAnsi="Times New Roman" w:eastAsia="等线" w:cs="Times New Roman"/>
          <w:b/>
          <w:bCs w:val="0"/>
          <w:i/>
          <w:iCs w:val="0"/>
          <w:sz w:val="20"/>
          <w:szCs w:val="20"/>
          <w:lang w:val="en-US" w:eastAsia="zh-CN"/>
        </w:rPr>
        <w:t>.</w:t>
      </w:r>
      <w:r>
        <w:rPr>
          <w:rFonts w:hint="eastAsia" w:ascii="Times New Roman" w:hAnsi="Times New Roman" w:cs="Times New Roman"/>
          <w:b/>
          <w:bCs w:val="0"/>
          <w:i/>
          <w:iCs w:val="0"/>
          <w:sz w:val="20"/>
          <w:szCs w:val="20"/>
          <w:lang w:val="en-US" w:eastAsia="zh-CN"/>
        </w:rPr>
        <w:t xml:space="preserve"> </w:t>
      </w:r>
    </w:p>
    <w:p w14:paraId="272A69C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As for whether ground truth is reported or ideal, more discussion is needed. Initially, our preference is that for FR2, ground truth is reported RSRP, and for FR1, ground truth is the ideal value. The reason is that OTA test is used </w:t>
      </w:r>
      <w:r>
        <w:rPr>
          <w:rFonts w:hint="eastAsia" w:ascii="Times New Roman" w:hAnsi="Times New Roman" w:eastAsia="等线"/>
          <w:bCs/>
          <w:iCs/>
          <w:sz w:val="20"/>
          <w:szCs w:val="20"/>
          <w:lang w:val="en-US" w:eastAsia="zh-CN"/>
        </w:rPr>
        <w:t>for FR2, which</w:t>
      </w:r>
      <w:r>
        <w:rPr>
          <w:rFonts w:hint="eastAsia" w:ascii="Times New Roman" w:hAnsi="Times New Roman" w:eastAsia="宋体" w:cs="Times New Roman"/>
          <w:sz w:val="20"/>
          <w:szCs w:val="20"/>
          <w:highlight w:val="none"/>
          <w:lang w:val="en-US" w:eastAsia="zh-CN"/>
        </w:rPr>
        <w:t xml:space="preserve"> is impacted by </w:t>
      </w:r>
      <w:r>
        <w:rPr>
          <w:rFonts w:hint="eastAsia" w:ascii="Times New Roman" w:hAnsi="Times New Roman" w:eastAsia="等线"/>
          <w:bCs/>
          <w:iCs/>
          <w:sz w:val="20"/>
          <w:szCs w:val="20"/>
          <w:lang w:val="en-US" w:eastAsia="zh-CN"/>
        </w:rPr>
        <w:t xml:space="preserve">RX beamforming gain. To minimize the impact of RX beamforming gain, </w:t>
      </w:r>
      <w:r>
        <w:rPr>
          <w:rFonts w:hint="default" w:ascii="Times New Roman" w:hAnsi="Times New Roman" w:eastAsia="Yu Mincho" w:cs="Times New Roman"/>
          <w:sz w:val="20"/>
          <w:szCs w:val="20"/>
          <w:highlight w:val="none"/>
          <w:lang w:eastAsia="ja-JP"/>
        </w:rPr>
        <w:t>the ground truth is the approximate as the reported RSRP measurement under the certain SNR</w:t>
      </w:r>
      <w:r>
        <w:rPr>
          <w:rFonts w:hint="eastAsia" w:ascii="Times New Roman" w:hAnsi="Times New Roman" w:eastAsia="等线"/>
          <w:bCs/>
          <w:iCs/>
          <w:sz w:val="20"/>
          <w:szCs w:val="20"/>
          <w:lang w:val="en-US" w:eastAsia="zh-CN"/>
        </w:rPr>
        <w:t xml:space="preserve">. While there is no such issue in FR1 since conducted conditions are in use. </w:t>
      </w:r>
    </w:p>
    <w:p w14:paraId="43D2DDD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However, according to the discussion in last meeting, issues are identified to assume transmitted power at TE as the ground truth for FR1. In legacy FR1 test case set up, there is no L3 filtering and the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However, for AI test, fading channel will be employed, which means there is channel fluctuation in the time domain. How UE perform L1/L3 filtering will have impact on the ideal RSRP. SinceTE has no such information, it is difficult for TE to derive the ground truth.</w:t>
      </w:r>
    </w:p>
    <w:p w14:paraId="12A1E4F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w:t>
      </w:r>
      <w:r>
        <w:rPr>
          <w:rFonts w:hint="eastAsia" w:ascii="Times New Roman" w:hAnsi="Times New Roman" w:cs="Times New Roman"/>
          <w:b/>
          <w:bCs w:val="0"/>
          <w:i/>
          <w:iCs w:val="0"/>
          <w:sz w:val="20"/>
          <w:szCs w:val="20"/>
          <w:lang w:val="en-US" w:eastAsia="zh-CN"/>
        </w:rPr>
        <w:t xml:space="preserve">for relative RSRP prediction accuracy, </w:t>
      </w:r>
      <w:r>
        <w:rPr>
          <w:rFonts w:hint="default" w:ascii="Times New Roman" w:hAnsi="Times New Roman" w:eastAsia="Yu Mincho" w:cs="Times New Roman"/>
          <w:b/>
          <w:bCs w:val="0"/>
          <w:i/>
          <w:iCs w:val="0"/>
          <w:sz w:val="20"/>
          <w:szCs w:val="20"/>
          <w:highlight w:val="none"/>
        </w:rPr>
        <w:t xml:space="preserve">ground truth </w:t>
      </w:r>
      <w:r>
        <w:rPr>
          <w:rFonts w:hint="eastAsia" w:ascii="Times New Roman" w:hAnsi="Times New Roman" w:cs="Times New Roman"/>
          <w:b/>
          <w:bCs w:val="0"/>
          <w:i/>
          <w:iCs w:val="0"/>
          <w:sz w:val="20"/>
          <w:szCs w:val="20"/>
          <w:highlight w:val="none"/>
          <w:lang w:val="en-US" w:eastAsia="zh-CN"/>
        </w:rPr>
        <w:t>is</w:t>
      </w:r>
      <w:r>
        <w:rPr>
          <w:rFonts w:hint="default" w:ascii="Times New Roman" w:hAnsi="Times New Roman" w:eastAsia="Yu Mincho" w:cs="Times New Roman"/>
          <w:b/>
          <w:bCs w:val="0"/>
          <w:i/>
          <w:iCs w:val="0"/>
          <w:sz w:val="20"/>
          <w:szCs w:val="20"/>
          <w:highlight w:val="none"/>
        </w:rPr>
        <w:t xml:space="preserve"> reported</w:t>
      </w:r>
      <w:r>
        <w:rPr>
          <w:rFonts w:hint="eastAsia" w:ascii="Times New Roman" w:hAnsi="Times New Roman" w:eastAsia="等线"/>
          <w:b/>
          <w:bCs w:val="0"/>
          <w:i/>
          <w:iCs w:val="0"/>
          <w:sz w:val="20"/>
          <w:szCs w:val="20"/>
          <w:lang w:val="en-US" w:eastAsia="zh-CN"/>
        </w:rPr>
        <w:t xml:space="preserve"> by UE at high SNR for FR2, FFS </w:t>
      </w:r>
      <w:r>
        <w:rPr>
          <w:rFonts w:hint="default" w:ascii="Times New Roman" w:hAnsi="Times New Roman" w:eastAsia="Yu Mincho" w:cs="Times New Roman"/>
          <w:b/>
          <w:bCs w:val="0"/>
          <w:i/>
          <w:iCs w:val="0"/>
          <w:sz w:val="20"/>
          <w:szCs w:val="20"/>
          <w:highlight w:val="none"/>
        </w:rPr>
        <w:t xml:space="preserve">ground truth </w:t>
      </w:r>
      <w:r>
        <w:rPr>
          <w:rFonts w:hint="eastAsia" w:ascii="Times New Roman" w:hAnsi="Times New Roman" w:eastAsia="等线"/>
          <w:b/>
          <w:bCs w:val="0"/>
          <w:i/>
          <w:iCs w:val="0"/>
          <w:sz w:val="20"/>
          <w:szCs w:val="20"/>
          <w:lang w:val="en-US" w:eastAsia="zh-CN"/>
        </w:rPr>
        <w:t>for FR1.</w:t>
      </w:r>
    </w:p>
    <w:p w14:paraId="0E71C90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F4FC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9D3F8D8">
            <w:pPr>
              <w:rPr>
                <w:rFonts w:hint="default" w:ascii="Times New Roman" w:hAnsi="Times New Roman" w:eastAsia="MS Mincho" w:cs="Times New Roman"/>
                <w:b/>
                <w:bCs/>
                <w:sz w:val="20"/>
                <w:szCs w:val="20"/>
                <w:highlight w:val="none"/>
                <w:u w:val="single"/>
                <w:lang w:eastAsia="zh-CN"/>
              </w:rPr>
            </w:pPr>
            <w:r>
              <w:rPr>
                <w:rFonts w:hint="default" w:ascii="Times New Roman" w:hAnsi="Times New Roman" w:eastAsia="MS Mincho" w:cs="Times New Roman"/>
                <w:b/>
                <w:bCs/>
                <w:sz w:val="20"/>
                <w:szCs w:val="20"/>
                <w:highlight w:val="none"/>
                <w:u w:val="single"/>
                <w:lang w:eastAsia="zh-CN"/>
              </w:rPr>
              <w:t>Issue 2-1-2: Ground Truth Definition for RSRP accuracy</w:t>
            </w:r>
          </w:p>
          <w:p w14:paraId="20BBBE17">
            <w:pPr>
              <w:overflowPunct w:val="0"/>
              <w:autoSpaceDE w:val="0"/>
              <w:autoSpaceDN w:val="0"/>
              <w:adjustRightInd w:val="0"/>
              <w:snapToGrid w:val="0"/>
              <w:spacing w:after="120"/>
              <w:textAlignment w:val="baseline"/>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Agreement:</w:t>
            </w:r>
          </w:p>
          <w:p w14:paraId="5D783DE3">
            <w:pPr>
              <w:overflowPunct w:val="0"/>
              <w:autoSpaceDE w:val="0"/>
              <w:autoSpaceDN w:val="0"/>
              <w:adjustRightInd w:val="0"/>
              <w:snapToGrid w:val="0"/>
              <w:spacing w:after="120"/>
              <w:textAlignment w:val="baseline"/>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zh-CN"/>
              </w:rPr>
              <w:t>Take Option 1-1-FR2 as baseline, and further discuss any additional aspects need to be considered.</w:t>
            </w:r>
          </w:p>
          <w:p w14:paraId="68EB1CE2">
            <w:pPr>
              <w:pStyle w:val="12"/>
              <w:numPr>
                <w:ilvl w:val="0"/>
                <w:numId w:val="4"/>
              </w:numPr>
              <w:snapToGrid w:val="0"/>
              <w:spacing w:after="120"/>
              <w:ind w:firstLineChars="0"/>
              <w:rPr>
                <w:rFonts w:hint="default" w:ascii="Times New Roman" w:hAnsi="Times New Roman" w:eastAsia="Yu Mincho" w:cs="Times New Roman"/>
                <w:sz w:val="20"/>
                <w:szCs w:val="20"/>
                <w:highlight w:val="none"/>
              </w:rPr>
            </w:pPr>
            <w:r>
              <w:rPr>
                <w:rFonts w:hint="default" w:ascii="Times New Roman" w:hAnsi="Times New Roman" w:cs="Times New Roman"/>
                <w:sz w:val="20"/>
                <w:szCs w:val="20"/>
                <w:highlight w:val="none"/>
              </w:rPr>
              <w:t xml:space="preserve">Option 1-1-FR2: </w:t>
            </w:r>
            <w:r>
              <w:rPr>
                <w:rFonts w:hint="default" w:ascii="Times New Roman" w:hAnsi="Times New Roman" w:eastAsia="Yu Mincho" w:cs="Times New Roman"/>
                <w:sz w:val="20"/>
                <w:szCs w:val="20"/>
                <w:highlight w:val="none"/>
              </w:rPr>
              <w:t>The ground truth of L3 RPRP is the reported L3 RSRP measurement under sufficient high SNR in FR2.</w:t>
            </w:r>
          </w:p>
          <w:p w14:paraId="62BA28B3">
            <w:pPr>
              <w:rPr>
                <w:rFonts w:hint="default" w:ascii="Times New Roman" w:hAnsi="Times New Roman" w:eastAsia="MS Mincho" w:cs="Times New Roman"/>
                <w:b/>
                <w:bCs/>
                <w:sz w:val="20"/>
                <w:szCs w:val="20"/>
                <w:highlight w:val="none"/>
                <w:u w:val="single"/>
                <w:lang w:eastAsia="zh-CN"/>
              </w:rPr>
            </w:pPr>
            <w:r>
              <w:rPr>
                <w:rFonts w:hint="default" w:ascii="Times New Roman" w:hAnsi="Times New Roman" w:eastAsia="MS Mincho" w:cs="Times New Roman"/>
                <w:b/>
                <w:bCs/>
                <w:sz w:val="20"/>
                <w:szCs w:val="20"/>
                <w:highlight w:val="none"/>
                <w:u w:val="single"/>
                <w:lang w:eastAsia="zh-CN"/>
              </w:rPr>
              <w:t>Issue 2-1-2: Ground Truth Definition for RSRP accuracy</w:t>
            </w:r>
          </w:p>
          <w:p w14:paraId="39B97903">
            <w:pPr>
              <w:pStyle w:val="12"/>
              <w:numPr>
                <w:ilvl w:val="0"/>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Agreement:</w:t>
            </w:r>
          </w:p>
          <w:p w14:paraId="1B643605">
            <w:pPr>
              <w:pStyle w:val="12"/>
              <w:numPr>
                <w:ilvl w:val="1"/>
                <w:numId w:val="4"/>
              </w:numPr>
              <w:snapToGrid w:val="0"/>
              <w:spacing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Alt 1: Ground truth for FR1 will be based on the transmitted or reception power </w:t>
            </w:r>
          </w:p>
          <w:p w14:paraId="6E790DB1">
            <w:pPr>
              <w:pStyle w:val="12"/>
              <w:numPr>
                <w:ilvl w:val="1"/>
                <w:numId w:val="4"/>
              </w:numPr>
              <w:spacing w:after="120"/>
              <w:ind w:firstLineChars="0"/>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Alt 2: Ground truth for FR1 will be based on the reported measurement value under certain conditions </w:t>
            </w:r>
          </w:p>
          <w:p w14:paraId="350F4220">
            <w:pPr>
              <w:pStyle w:val="12"/>
              <w:numPr>
                <w:ilvl w:val="1"/>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Further discuss the advantages and disadvantages for Alt 1 and Alt 2 considering the aspects such as: </w:t>
            </w:r>
          </w:p>
          <w:p w14:paraId="2568A529">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The information at the TE side, on the timing UE performs and/or finishes the measurement and/or prediction</w:t>
            </w:r>
          </w:p>
          <w:p w14:paraId="3A94E013">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Impact of L3 filtering</w:t>
            </w:r>
          </w:p>
          <w:p w14:paraId="7C650BFF">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 Number of samples for L1 filtering </w:t>
            </w:r>
          </w:p>
          <w:p w14:paraId="4B8A2056">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Timing window, if it exists, where UE can’t measure the ground truth in Alt2</w:t>
            </w:r>
          </w:p>
          <w:p w14:paraId="0D074FE6">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channel condition</w:t>
            </w:r>
          </w:p>
          <w:p w14:paraId="6C90D70F">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Avoid UE cheat in the test</w:t>
            </w:r>
          </w:p>
          <w:p w14:paraId="0B97569C">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S(I)NR variations in the test at different time instances (for Alt2)</w:t>
            </w:r>
          </w:p>
          <w:p w14:paraId="47E25166">
            <w:pPr>
              <w:pStyle w:val="12"/>
              <w:numPr>
                <w:ilvl w:val="2"/>
                <w:numId w:val="4"/>
              </w:numPr>
              <w:overflowPunct/>
              <w:autoSpaceDE/>
              <w:autoSpaceDN/>
              <w:adjustRightInd/>
              <w:spacing w:after="0"/>
              <w:ind w:firstLineChars="0"/>
              <w:textAlignment w:val="auto"/>
              <w:rPr>
                <w:rFonts w:hint="default" w:ascii="Times New Roman" w:hAnsi="Times New Roman" w:eastAsia="Yu Mincho" w:cs="Times New Roman"/>
                <w:sz w:val="20"/>
                <w:szCs w:val="20"/>
                <w:highlight w:val="none"/>
              </w:rPr>
            </w:pPr>
            <w:r>
              <w:rPr>
                <w:rFonts w:hint="default" w:ascii="Times New Roman" w:hAnsi="Times New Roman" w:eastAsia="Yu Mincho" w:cs="Times New Roman"/>
                <w:sz w:val="20"/>
                <w:szCs w:val="20"/>
                <w:highlight w:val="none"/>
              </w:rPr>
              <w:t xml:space="preserve"> Other aspects are not precluded</w:t>
            </w:r>
          </w:p>
          <w:p w14:paraId="0D271ECB">
            <w:pPr>
              <w:pStyle w:val="12"/>
              <w:numPr>
                <w:ilvl w:val="1"/>
                <w:numId w:val="4"/>
              </w:numPr>
              <w:overflowPunct/>
              <w:autoSpaceDE/>
              <w:autoSpaceDN/>
              <w:adjustRightInd/>
              <w:spacing w:after="0"/>
              <w:ind w:firstLineChars="0"/>
              <w:textAlignment w:val="auto"/>
              <w:rPr>
                <w:rFonts w:hint="default" w:ascii="Times New Roman" w:hAnsi="Times New Roman" w:eastAsia="等线" w:cs="Times New Roman"/>
                <w:bCs/>
                <w:iCs/>
                <w:sz w:val="20"/>
                <w:szCs w:val="20"/>
                <w:highlight w:val="none"/>
                <w:vertAlign w:val="baseline"/>
                <w:lang w:val="en-US" w:eastAsia="zh-CN"/>
              </w:rPr>
            </w:pPr>
            <w:r>
              <w:rPr>
                <w:rFonts w:hint="default" w:ascii="Times New Roman" w:hAnsi="Times New Roman" w:eastAsia="Yu Mincho" w:cs="Times New Roman"/>
                <w:sz w:val="20"/>
                <w:szCs w:val="20"/>
                <w:highlight w:val="none"/>
              </w:rPr>
              <w:t> Companies are encouraged to provide analysis on all or some of the aspects in the list</w:t>
            </w:r>
          </w:p>
        </w:tc>
      </w:tr>
    </w:tbl>
    <w:p w14:paraId="3059B6D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32D8CD0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default"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As discussed above, for FR1, our initial consideration is to follow legay way to use transmitted power at TE side as ground truth. However, some issues are identified. </w:t>
      </w:r>
      <w:r>
        <w:rPr>
          <w:rFonts w:hint="eastAsia" w:ascii="Times New Roman" w:hAnsi="Times New Roman" w:eastAsia="等线"/>
          <w:bCs/>
          <w:iCs/>
          <w:sz w:val="20"/>
          <w:szCs w:val="20"/>
          <w:lang w:val="en-US" w:eastAsia="zh-CN"/>
        </w:rPr>
        <w:t xml:space="preserve">In legacy FR1 test case set up, no L3 filtering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However,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Based on above discussion, each alternative has pros can cons. From our point of view, it is slightly prefer alternative 1. To solve the issue, it can be assumed no L3 filtering in the test case. As for the impact due to L1 filtering, it can be further check whether it is possible to assume one filtering mechanism when TE derive the ground truth.</w:t>
      </w:r>
    </w:p>
    <w:p w14:paraId="73BF19A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table 2 provide the comparison between Alternative 1 and Alternative 2 for ground truth definition for FR1.</w:t>
      </w:r>
    </w:p>
    <w:p w14:paraId="3E45982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Table 2 Comparison between Alternative 1 and Alternative 2 for ground truth definition for FR1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780"/>
        <w:gridCol w:w="3595"/>
      </w:tblGrid>
      <w:tr w14:paraId="67163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2884CF0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tc>
        <w:tc>
          <w:tcPr>
            <w:tcW w:w="3780" w:type="dxa"/>
          </w:tcPr>
          <w:p w14:paraId="6C5DC2DF">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1</w:t>
            </w:r>
          </w:p>
          <w:p w14:paraId="5515454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transmitted or reception power</w:t>
            </w:r>
            <w:r>
              <w:rPr>
                <w:rFonts w:hint="eastAsia" w:ascii="Times New Roman" w:hAnsi="Times New Roman" w:eastAsia="等线"/>
                <w:b/>
                <w:bCs w:val="0"/>
                <w:iCs/>
                <w:sz w:val="20"/>
                <w:szCs w:val="20"/>
                <w:lang w:val="en-US" w:eastAsia="zh-CN"/>
              </w:rPr>
              <w:t>)</w:t>
            </w:r>
          </w:p>
        </w:tc>
        <w:tc>
          <w:tcPr>
            <w:tcW w:w="3595" w:type="dxa"/>
          </w:tcPr>
          <w:p w14:paraId="3FC1413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2</w:t>
            </w:r>
          </w:p>
          <w:p w14:paraId="47A2E8C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reported measurement value under certain conditions</w:t>
            </w:r>
            <w:r>
              <w:rPr>
                <w:rFonts w:hint="eastAsia" w:ascii="Times New Roman" w:hAnsi="Times New Roman" w:eastAsia="等线"/>
                <w:b/>
                <w:bCs w:val="0"/>
                <w:iCs/>
                <w:sz w:val="20"/>
                <w:szCs w:val="20"/>
                <w:lang w:val="en-US" w:eastAsia="zh-CN"/>
              </w:rPr>
              <w:t>)</w:t>
            </w:r>
          </w:p>
        </w:tc>
      </w:tr>
      <w:tr w14:paraId="3708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3103D2D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L3 filtering</w:t>
            </w:r>
          </w:p>
        </w:tc>
        <w:tc>
          <w:tcPr>
            <w:tcW w:w="3780" w:type="dxa"/>
          </w:tcPr>
          <w:p w14:paraId="281F5AD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If L3 filtering is considered, how to perform L3 filtering is based on </w:t>
            </w:r>
            <w:r>
              <w:rPr>
                <w:rFonts w:ascii="Times New Roman" w:hAnsi="Times New Roman" w:cs="Times New Roman"/>
                <w:sz w:val="21"/>
                <w:szCs w:val="21"/>
              </w:rPr>
              <w:t>L3 filtering formula</w:t>
            </w:r>
            <w:r>
              <w:rPr>
                <w:rFonts w:hint="eastAsia" w:ascii="Times New Roman" w:hAnsi="Times New Roman" w:eastAsia="等线" w:cs="Times New Roman"/>
                <w:bCs/>
                <w:iCs/>
                <w:sz w:val="20"/>
                <w:szCs w:val="20"/>
                <w:vertAlign w:val="baseline"/>
                <w:lang w:val="en-US" w:eastAsia="zh-CN"/>
              </w:rPr>
              <w:t xml:space="preserve"> with filtering coefficient configured, and TE has no such information  </w:t>
            </w:r>
          </w:p>
        </w:tc>
        <w:tc>
          <w:tcPr>
            <w:tcW w:w="3595" w:type="dxa"/>
          </w:tcPr>
          <w:p w14:paraId="4EBBCE2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5327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485D92F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w:t>
            </w:r>
            <w:r>
              <w:rPr>
                <w:rFonts w:hint="eastAsia" w:ascii="Times New Roman" w:hAnsi="Times New Roman" w:cs="Times New Roman"/>
                <w:b/>
                <w:bCs/>
                <w:sz w:val="20"/>
                <w:szCs w:val="20"/>
                <w:highlight w:val="none"/>
                <w:lang w:val="en-US" w:eastAsia="zh-CN"/>
              </w:rPr>
              <w:t>1</w:t>
            </w:r>
            <w:r>
              <w:rPr>
                <w:rFonts w:hint="default" w:ascii="Times New Roman" w:hAnsi="Times New Roman" w:eastAsia="Yu Mincho" w:cs="Times New Roman"/>
                <w:b/>
                <w:bCs/>
                <w:sz w:val="20"/>
                <w:szCs w:val="20"/>
                <w:highlight w:val="none"/>
              </w:rPr>
              <w:t xml:space="preserve"> filtering</w:t>
            </w:r>
          </w:p>
        </w:tc>
        <w:tc>
          <w:tcPr>
            <w:tcW w:w="3780" w:type="dxa"/>
          </w:tcPr>
          <w:p w14:paraId="5CAE8AD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How to perform L1 filtering, e,g, the number of samples, whether sliding or non-sliding filtering in use, is up to UE implementation, and TE has no such information </w:t>
            </w:r>
          </w:p>
        </w:tc>
        <w:tc>
          <w:tcPr>
            <w:tcW w:w="3595" w:type="dxa"/>
          </w:tcPr>
          <w:p w14:paraId="78258E5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5CA6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1BDBC6D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Timing window</w:t>
            </w:r>
          </w:p>
        </w:tc>
        <w:tc>
          <w:tcPr>
            <w:tcW w:w="3780" w:type="dxa"/>
          </w:tcPr>
          <w:p w14:paraId="0521049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c>
          <w:tcPr>
            <w:tcW w:w="3595" w:type="dxa"/>
          </w:tcPr>
          <w:p w14:paraId="2AB12E5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For Case B (target goal is to reduce measurement overhead), the time instance in prediction window will not be measured, which means UE cannot measure and report the ground truth.</w:t>
            </w:r>
          </w:p>
          <w:p w14:paraId="73F2B3D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drawing>
                <wp:inline distT="0" distB="0" distL="114300" distR="114300">
                  <wp:extent cx="1987550" cy="914400"/>
                  <wp:effectExtent l="0" t="0" r="635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1987550" cy="914400"/>
                          </a:xfrm>
                          <a:prstGeom prst="rect">
                            <a:avLst/>
                          </a:prstGeom>
                          <a:noFill/>
                          <a:ln>
                            <a:noFill/>
                          </a:ln>
                        </pic:spPr>
                      </pic:pic>
                    </a:graphicData>
                  </a:graphic>
                </wp:inline>
              </w:drawing>
            </w:r>
            <w:r>
              <w:rPr>
                <w:rFonts w:hint="eastAsia" w:ascii="Times New Roman" w:hAnsi="Times New Roman" w:eastAsia="等线" w:cs="Times New Roman"/>
                <w:bCs/>
                <w:iCs/>
                <w:sz w:val="20"/>
                <w:szCs w:val="20"/>
                <w:vertAlign w:val="baseline"/>
                <w:lang w:val="en-US" w:eastAsia="zh-CN"/>
              </w:rPr>
              <w:t xml:space="preserve"> </w:t>
            </w:r>
          </w:p>
        </w:tc>
      </w:tr>
      <w:tr w14:paraId="4E7C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35471F9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cs="Times New Roman"/>
                <w:b/>
                <w:bCs/>
                <w:sz w:val="20"/>
                <w:szCs w:val="20"/>
                <w:highlight w:val="none"/>
                <w:lang w:val="en-US" w:eastAsia="zh-CN"/>
              </w:rPr>
              <w:t>Channel condition</w:t>
            </w:r>
          </w:p>
        </w:tc>
        <w:tc>
          <w:tcPr>
            <w:tcW w:w="3780" w:type="dxa"/>
            <w:shd w:val="clear" w:color="auto" w:fill="auto"/>
            <w:vAlign w:val="top"/>
          </w:tcPr>
          <w:p w14:paraId="40CBFA2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1E76B6D2">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fading channel, the channel condition at T1 to get ground truth and the channel condition at T2 to predict is different, which result in mismatch </w:t>
            </w:r>
          </w:p>
        </w:tc>
      </w:tr>
      <w:tr w14:paraId="73E6B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53A84B75">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UE cheating issue</w:t>
            </w:r>
          </w:p>
        </w:tc>
        <w:tc>
          <w:tcPr>
            <w:tcW w:w="3780" w:type="dxa"/>
            <w:shd w:val="clear" w:color="auto" w:fill="auto"/>
            <w:vAlign w:val="top"/>
          </w:tcPr>
          <w:p w14:paraId="0737D0E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23D4DAB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Since both the ground truth and predicted value are reported by UE, there may be cheating issue</w:t>
            </w:r>
          </w:p>
        </w:tc>
      </w:tr>
    </w:tbl>
    <w:p w14:paraId="0F03E83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tbl>
      <w:tblPr>
        <w:tblStyle w:val="10"/>
        <w:tblpPr w:leftFromText="180" w:rightFromText="180" w:vertAnchor="text" w:horzAnchor="page" w:tblpX="1795" w:tblpY="41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AFF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8E4E4AA">
            <w:pPr>
              <w:spacing w:after="120"/>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Issue 2-1-</w:t>
            </w:r>
            <w:r>
              <w:rPr>
                <w:rFonts w:hint="eastAsia"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rPr>
              <w:t>: Impacts on beam/cell level measurements</w:t>
            </w:r>
          </w:p>
          <w:p w14:paraId="2D3194F7">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Background:</w:t>
            </w:r>
          </w:p>
          <w:p w14:paraId="6DAE5C46">
            <w:pPr>
              <w:spacing w:after="120"/>
              <w:ind w:left="36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The following agreement was achieved in RAN4#112bis meeting:</w:t>
            </w:r>
          </w:p>
          <w:tbl>
            <w:tblPr>
              <w:tblStyle w:val="10"/>
              <w:tblW w:w="0" w:type="auto"/>
              <w:tblInd w:w="3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5"/>
            </w:tblGrid>
            <w:tr w14:paraId="6AD7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14:paraId="3EF2DFC4">
                  <w:p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val="en-GB" w:eastAsia="zh-CN"/>
                    </w:rPr>
                    <w:t>Agreement:</w:t>
                  </w:r>
                </w:p>
                <w:p w14:paraId="5EAD037C">
                  <w:pPr>
                    <w:numPr>
                      <w:ilvl w:val="0"/>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RAN4 to first study the impacts on requirements for the following case:</w:t>
                  </w:r>
                </w:p>
                <w:p w14:paraId="646A4EF3">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L3 cell level RSRP (Point C) prediction</w:t>
                  </w:r>
                </w:p>
                <w:p w14:paraId="010456C7">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FFS L1 beam-level (Point A</w:t>
                  </w:r>
                  <w:r>
                    <w:rPr>
                      <w:rFonts w:hint="default" w:ascii="Times New Roman" w:hAnsi="Times New Roman" w:eastAsia="Yu Mincho" w:cs="Times New Roman"/>
                      <w:color w:val="auto"/>
                      <w:sz w:val="20"/>
                      <w:szCs w:val="20"/>
                      <w:vertAlign w:val="superscript"/>
                      <w:lang w:eastAsia="zh-CN"/>
                    </w:rPr>
                    <w:t>1</w:t>
                  </w:r>
                  <w:r>
                    <w:rPr>
                      <w:rFonts w:hint="default" w:ascii="Times New Roman" w:hAnsi="Times New Roman" w:eastAsia="Yu Mincho" w:cs="Times New Roman"/>
                      <w:color w:val="auto"/>
                      <w:sz w:val="20"/>
                      <w:szCs w:val="20"/>
                      <w:lang w:eastAsia="zh-CN"/>
                    </w:rPr>
                    <w:t>)</w:t>
                  </w:r>
                </w:p>
                <w:p w14:paraId="55FEC3DD">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FFS L3 beam-level (Point E)</w:t>
                  </w:r>
                </w:p>
                <w:p w14:paraId="12FF5F51">
                  <w:pPr>
                    <w:numPr>
                      <w:ilvl w:val="1"/>
                      <w:numId w:val="6"/>
                    </w:numPr>
                    <w:overflowPunct w:val="0"/>
                    <w:autoSpaceDE w:val="0"/>
                    <w:autoSpaceDN w:val="0"/>
                    <w:adjustRightInd w:val="0"/>
                    <w:spacing w:after="120"/>
                    <w:textAlignment w:val="baseline"/>
                    <w:rPr>
                      <w:rFonts w:hint="default" w:ascii="Times New Roman" w:hAnsi="Times New Roman" w:eastAsia="Yu Mincho" w:cs="Times New Roman"/>
                      <w:color w:val="auto"/>
                      <w:sz w:val="20"/>
                      <w:szCs w:val="20"/>
                      <w:lang w:eastAsia="zh-CN"/>
                    </w:rPr>
                  </w:pPr>
                  <w:r>
                    <w:rPr>
                      <w:rFonts w:hint="default" w:ascii="Times New Roman" w:hAnsi="Times New Roman" w:eastAsia="Yu Mincho" w:cs="Times New Roman"/>
                      <w:color w:val="auto"/>
                      <w:sz w:val="20"/>
                      <w:szCs w:val="20"/>
                      <w:lang w:eastAsia="zh-CN"/>
                    </w:rPr>
                    <w:t>Other cases can be considered based on RAN4 further discussion and RAN2 further progress.</w:t>
                  </w:r>
                </w:p>
              </w:tc>
            </w:tr>
          </w:tbl>
          <w:p w14:paraId="434615B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cs="Times New Roman"/>
                <w:color w:val="auto"/>
                <w:sz w:val="20"/>
                <w:szCs w:val="20"/>
                <w:vertAlign w:val="baseline"/>
                <w:lang w:val="en-US" w:eastAsia="zh-CN"/>
              </w:rPr>
            </w:pPr>
          </w:p>
          <w:p w14:paraId="04B99DF3">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 and Observations:</w:t>
            </w:r>
          </w:p>
          <w:p w14:paraId="6F1FB9F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(ZTE): </w:t>
            </w:r>
          </w:p>
          <w:p w14:paraId="39135D5E">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Due to L1-RSRP is for beam management, it’s fine for us not to consider point A1 in AI Mob.</w:t>
            </w:r>
          </w:p>
          <w:p w14:paraId="0EA78116">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deprioritize studying the impacts on requirements for L3 beam-level prediction.</w:t>
            </w:r>
          </w:p>
          <w:p w14:paraId="71528E6D">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L3 filtered beam level prediction cases are lower priority, the definition of prediction accuracy for point E will correspondingly be given low priority.</w:t>
            </w:r>
          </w:p>
          <w:p w14:paraId="64F805AF">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2 (Huawei): </w:t>
            </w:r>
          </w:p>
          <w:p w14:paraId="764512A6">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can deprioritize the sub-use cases of L3 filtered beam-level measurement predication (Point E).</w:t>
            </w:r>
          </w:p>
          <w:p w14:paraId="0B0D3E0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3 sub-use cases for cell-level RRM measurement prediction, RAN4 is to define measurement prediction accuracy at point C.</w:t>
            </w:r>
          </w:p>
          <w:p w14:paraId="28D911E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discuss whether to define separate prediction accuracy for each sub-use case or define one prediction accuracy requirement to cover 3 cell level sub-use cases.</w:t>
            </w:r>
          </w:p>
          <w:p w14:paraId="48C08B1A">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 (Apple):</w:t>
            </w:r>
          </w:p>
          <w:p w14:paraId="184E7D56">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will need to study accuracy requirements for AI/ML predicted cell-level L3-filtered measurements for measurement reduction purpose. FFS on predicted beam level L3-filtered measurements (point E) </w:t>
            </w:r>
          </w:p>
          <w:p w14:paraId="297ADCEE">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beam-level L1 requirements and given that L1 reporting is not supported within the L3 mobility framework, bypass L3 filtering and utilize a single Tx beam for testing purposes. (point A1 equivalent to C)</w:t>
            </w:r>
          </w:p>
          <w:p w14:paraId="403F67D4">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(Samsung):</w:t>
            </w:r>
          </w:p>
          <w:p w14:paraId="11884EFF">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prioritize studying the impacts on requirements for L3 cell level RSRP (Point C) prediction</w:t>
            </w:r>
          </w:p>
          <w:p w14:paraId="557BE913">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deprioritize studying the impacts on requirements for L3 beam-level (Point E) prediction, aligning with RAN2 prioritization</w:t>
            </w:r>
          </w:p>
          <w:p w14:paraId="080D142D">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If it is proposed to consider L1 beam level prediction, RAN4 to study the impacts on requirements for L1 beam level RSRP (Point A1) prediction</w:t>
            </w:r>
          </w:p>
          <w:p w14:paraId="45631464">
            <w:pPr>
              <w:pStyle w:val="12"/>
              <w:numPr>
                <w:ilvl w:val="3"/>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Whether to/How to define an additional prediction accuracy requirement on top of the requirement at C</w:t>
            </w:r>
          </w:p>
          <w:p w14:paraId="0335B9B9">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deprioritize studying the impacts on requirements for beam level spatial domain prediction (i.e., FR2 to FR2 intra-frequency spatial domain scenario 6) in AI mobility</w:t>
            </w:r>
          </w:p>
          <w:p w14:paraId="3ADB8FB9">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5 (MediaTek): </w:t>
            </w:r>
          </w:p>
          <w:p w14:paraId="1C4E5195">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RRM measurement prediction, only use cell level RSRP as the performance metric.</w:t>
            </w:r>
          </w:p>
          <w:p w14:paraId="434D34EE">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6 (Nokia): </w:t>
            </w:r>
          </w:p>
          <w:p w14:paraId="1D0D8377">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RAN4 to focus first on L3 cell level RSRP (Point C) prediction and after that L3 beam-level prediction (Point E). </w:t>
            </w:r>
          </w:p>
          <w:p w14:paraId="283342FA">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7 (Oppo):</w:t>
            </w:r>
          </w:p>
          <w:p w14:paraId="2FAFB99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all three sub-use cases, RAN4 to define prediction accuracy requirements and testing for L3-level measurements at point C.</w:t>
            </w:r>
          </w:p>
          <w:p w14:paraId="1A912BE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8 (Ericsson):</w:t>
            </w:r>
          </w:p>
          <w:p w14:paraId="26937D8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not study the impact of beam level measurement prediction (i.e., L1 beam-level (Point A1) and L3 beam-level (Point E)) on RAN4 requirement unless agreed to be considered for AI/ML based mobility by RAN2.</w:t>
            </w:r>
          </w:p>
          <w:p w14:paraId="6EB7F499">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9 (CMCC):</w:t>
            </w:r>
          </w:p>
          <w:p w14:paraId="6C485121">
            <w:pPr>
              <w:pStyle w:val="12"/>
              <w:numPr>
                <w:ilvl w:val="2"/>
                <w:numId w:val="4"/>
              </w:numPr>
              <w:spacing w:before="120" w:after="120"/>
              <w:ind w:firstLineChars="0"/>
              <w:rPr>
                <w:rFonts w:hint="default" w:ascii="Times New Roman" w:hAnsi="Times New Roman" w:cs="Times New Roman"/>
                <w:color w:val="auto"/>
                <w:sz w:val="20"/>
                <w:szCs w:val="20"/>
                <w:vertAlign w:val="baseline"/>
                <w:lang w:val="en-US" w:eastAsia="zh-CN"/>
              </w:rPr>
            </w:pPr>
            <w:r>
              <w:rPr>
                <w:rFonts w:hint="default" w:ascii="Times New Roman" w:hAnsi="Times New Roman" w:eastAsia="Yu Mincho" w:cs="Times New Roman"/>
                <w:sz w:val="20"/>
                <w:szCs w:val="20"/>
              </w:rPr>
              <w:t>except L3 cell level RSRP (Point C) prediction, it is proposed that RAN4 to consider L1 beam-level (Point A1). And it is proposed that L3 beam-level (Point E) can be deprioritized based on RAN2 agreements.</w:t>
            </w:r>
          </w:p>
        </w:tc>
      </w:tr>
    </w:tbl>
    <w:p w14:paraId="0C76532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1B0762E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In RAN4 #112bis meeting, i</w:t>
      </w:r>
      <w:r>
        <w:rPr>
          <w:rFonts w:hint="eastAsia" w:ascii="Times New Roman" w:hAnsi="Times New Roman" w:eastAsia="等线"/>
          <w:bCs/>
          <w:iCs/>
          <w:sz w:val="20"/>
          <w:szCs w:val="20"/>
          <w:lang w:val="en-US" w:eastAsia="zh-CN"/>
        </w:rPr>
        <w:t xml:space="preserve">t was agreed that RAN4 firstly study the impacts on requirements for L3 cell level RSRP (Point C) prediction. FFS L1 beam-level (Point A1) and L3 beam-level (Point E). </w:t>
      </w:r>
    </w:p>
    <w:p w14:paraId="69908C4A">
      <w:pPr>
        <w:bidi w:val="0"/>
        <w:rPr>
          <w:rFonts w:hint="eastAsia" w:ascii="Times New Roman" w:hAnsi="Times New Roman" w:eastAsia="等线"/>
          <w:bCs/>
          <w:iCs/>
          <w:sz w:val="20"/>
          <w:szCs w:val="20"/>
          <w:lang w:val="en-US" w:eastAsia="zh-CN"/>
        </w:rPr>
      </w:pPr>
      <w:r>
        <w:object>
          <v:shape id="_x0000_i1025" o:spt="75" type="#_x0000_t75" style="height:222.45pt;width:451.9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o:LockedField>false</o:LockedField>
          </o:OLEObject>
        </w:object>
      </w:r>
    </w:p>
    <w:p w14:paraId="05CB0D18">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宋体"/>
          <w:bCs/>
          <w:iCs/>
          <w:sz w:val="20"/>
          <w:szCs w:val="20"/>
          <w:lang w:val="en-US" w:eastAsia="zh-CN"/>
        </w:rPr>
      </w:pPr>
      <w:r>
        <w:rPr>
          <w:rFonts w:hint="eastAsia" w:ascii="Times New Roman" w:hAnsi="Times New Roman" w:eastAsia="等线"/>
          <w:bCs/>
          <w:iCs/>
          <w:sz w:val="20"/>
          <w:szCs w:val="20"/>
          <w:lang w:val="en-US" w:eastAsia="zh-CN"/>
        </w:rPr>
        <w:t>For the firstly studied scenrios 2, 3, 4, sub-use case 1, 2, 3 are considered. For sub-use case 1: L1 beam-level measurement result(s) is predicted based on actual L1 beam-level measurement result(s) and then L3 cell-level measurement result is generated, it can be seen that L1 beam results are predicted which can be used to generate L3 filtered results. From this point of view, L1 beam-level (Point A</w:t>
      </w:r>
      <w:r>
        <w:rPr>
          <w:rFonts w:hint="eastAsia" w:ascii="Times New Roman" w:hAnsi="Times New Roman" w:eastAsia="等线"/>
          <w:bCs/>
          <w:iCs/>
          <w:sz w:val="20"/>
          <w:szCs w:val="20"/>
          <w:vertAlign w:val="superscript"/>
          <w:lang w:val="en-US" w:eastAsia="zh-CN"/>
        </w:rPr>
        <w:t>1</w:t>
      </w:r>
      <w:r>
        <w:rPr>
          <w:rFonts w:hint="eastAsia" w:ascii="Times New Roman" w:hAnsi="Times New Roman" w:eastAsia="等线"/>
          <w:bCs/>
          <w:iCs/>
          <w:sz w:val="20"/>
          <w:szCs w:val="20"/>
          <w:lang w:val="en-US" w:eastAsia="zh-CN"/>
        </w:rPr>
        <w:t xml:space="preserve">) can also be considered. According to RAN2 agreements, </w:t>
      </w:r>
      <w:r>
        <w:rPr>
          <w:rFonts w:hint="default" w:ascii="Times New Roman" w:hAnsi="Times New Roman" w:cs="Times New Roman"/>
          <w:sz w:val="20"/>
          <w:szCs w:val="20"/>
          <w:lang w:eastAsia="en-US"/>
        </w:rPr>
        <w:t>L3 filtered beam level prediction cases are lower priority</w:t>
      </w:r>
      <w:r>
        <w:rPr>
          <w:rFonts w:hint="eastAsia" w:ascii="Times New Roman" w:hAnsi="Times New Roman" w:cs="Times New Roman"/>
          <w:sz w:val="20"/>
          <w:szCs w:val="20"/>
          <w:lang w:val="en-US" w:eastAsia="zh-CN"/>
        </w:rPr>
        <w:t>. RAN4 can follow RAN2 conclusion to deprioritize this case.</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20D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DC39690">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Agreements in RAN2#127 meeting</w:t>
            </w:r>
          </w:p>
          <w:p w14:paraId="1B8DC7E0">
            <w:pPr>
              <w:pStyle w:val="15"/>
              <w:numPr>
                <w:ilvl w:val="0"/>
                <w:numId w:val="7"/>
              </w:numPr>
              <w:overflowPunct/>
              <w:autoSpaceDE/>
              <w:autoSpaceDN/>
              <w:adjustRightInd/>
              <w:ind w:left="359" w:leftChars="0" w:hanging="360" w:firstLineChars="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 xml:space="preserve">Companies can consider to do L3 filtered beam level results for any of this cases. </w:t>
            </w:r>
            <w:r>
              <w:rPr>
                <w:rFonts w:hint="default" w:ascii="Times New Roman" w:hAnsi="Times New Roman" w:cs="Times New Roman"/>
                <w:sz w:val="20"/>
                <w:szCs w:val="20"/>
                <w:highlight w:val="cyan"/>
                <w:lang w:eastAsia="en-US"/>
              </w:rPr>
              <w:t>L3 filtered beam level prediction cases are lower priority</w:t>
            </w:r>
            <w:r>
              <w:rPr>
                <w:rFonts w:hint="default" w:ascii="Times New Roman" w:hAnsi="Times New Roman" w:cs="Times New Roman"/>
                <w:sz w:val="20"/>
                <w:szCs w:val="20"/>
                <w:lang w:eastAsia="en-US"/>
              </w:rPr>
              <w:t xml:space="preserve">.  </w:t>
            </w:r>
          </w:p>
          <w:p w14:paraId="2509B361">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1: To predict L1 filtered beam level results, then generate L3 filtered results based on the predicted L1 beam results.</w:t>
            </w:r>
          </w:p>
          <w:p w14:paraId="64A72842">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2: To directly predict L3 filtered beam level results based on the L3 beam level measurement results.</w:t>
            </w:r>
          </w:p>
          <w:p w14:paraId="7EAE4940">
            <w:pPr>
              <w:pStyle w:val="15"/>
              <w:numPr>
                <w:ilvl w:val="1"/>
                <w:numId w:val="8"/>
              </w:numPr>
              <w:overflowPunct/>
              <w:autoSpaceDE/>
              <w:autoSpaceDN/>
              <w:adjustRightInd/>
              <w:ind w:left="1079"/>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Case 3: To directly predict L3 filtered beam level results based on the L1 beam level measurement results.</w:t>
            </w:r>
          </w:p>
          <w:p w14:paraId="3B695399">
            <w:pPr>
              <w:numPr>
                <w:ilvl w:val="0"/>
                <w:numId w:val="9"/>
              </w:numPr>
              <w:spacing w:after="180" w:line="240" w:lineRule="exact"/>
              <w:ind w:left="420" w:leftChars="0" w:hanging="4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kern w:val="2"/>
                <w:sz w:val="20"/>
                <w:szCs w:val="20"/>
                <w:lang w:val="en-US" w:eastAsia="en-US" w:bidi="ar-SA"/>
              </w:rPr>
              <w:t xml:space="preserve">If companies do L3 filtered beam level prediction simulations, they should focus on FR2-to-FR2 intra-frequency temporal domain prediction case A </w:t>
            </w:r>
            <w:r>
              <w:rPr>
                <w:rFonts w:hint="default" w:ascii="Times New Roman" w:hAnsi="Times New Roman" w:eastAsia="等线" w:cs="Times New Roman"/>
                <w:bCs/>
                <w:iCs/>
                <w:sz w:val="20"/>
                <w:szCs w:val="20"/>
                <w:vertAlign w:val="baseline"/>
                <w:lang w:val="en-US" w:eastAsia="zh-CN"/>
              </w:rPr>
              <w:t xml:space="preserve"> </w:t>
            </w:r>
          </w:p>
        </w:tc>
      </w:tr>
    </w:tbl>
    <w:p w14:paraId="53BD25C3">
      <w:pPr>
        <w:spacing w:after="180" w:line="240" w:lineRule="exact"/>
        <w:rPr>
          <w:rFonts w:hint="eastAsia" w:ascii="Times New Roman" w:hAnsi="Times New Roman" w:eastAsia="等线"/>
          <w:bCs/>
          <w:iCs/>
          <w:sz w:val="20"/>
          <w:szCs w:val="20"/>
          <w:lang w:val="en-US" w:eastAsia="zh-CN"/>
        </w:rPr>
      </w:pPr>
    </w:p>
    <w:p w14:paraId="3DB0E06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except L3 cell level RSRP (Point C) prediction, it is proposed that RAN4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And it is proposed that L3 beam-level (Point E) can be deprioritized based on RAN2 agreements.</w:t>
      </w:r>
    </w:p>
    <w:p w14:paraId="72480C0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BE9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791DF12">
            <w:pPr>
              <w:bidi w:val="0"/>
              <w:rPr>
                <w:rFonts w:hint="default" w:ascii="Times New Roman" w:hAnsi="Times New Roman" w:eastAsia="宋体" w:cs="Times New Roman"/>
                <w:b/>
                <w:sz w:val="20"/>
                <w:szCs w:val="20"/>
                <w:u w:val="single"/>
              </w:rPr>
            </w:pPr>
            <w:r>
              <w:rPr>
                <w:rFonts w:hint="default" w:ascii="Times New Roman" w:hAnsi="Times New Roman" w:eastAsia="宋体" w:cs="Times New Roman"/>
                <w:b/>
                <w:sz w:val="20"/>
                <w:szCs w:val="20"/>
                <w:u w:val="single"/>
              </w:rPr>
              <w:t>Issue 2-1-7: Impact on Core requirements</w:t>
            </w:r>
          </w:p>
          <w:p w14:paraId="7E3129C9">
            <w:pPr>
              <w:bidi w:val="0"/>
              <w:rPr>
                <w:rFonts w:hint="default" w:ascii="Times New Roman" w:hAnsi="Times New Roman" w:eastAsia="宋体" w:cs="Times New Roman"/>
                <w:b/>
                <w:sz w:val="20"/>
                <w:szCs w:val="20"/>
                <w:u w:val="single"/>
              </w:rPr>
            </w:pPr>
          </w:p>
          <w:p w14:paraId="29DA9CA4">
            <w:pPr>
              <w:tabs>
                <w:tab w:val="left" w:pos="840"/>
              </w:tabs>
              <w:spacing w:after="120"/>
              <w:rPr>
                <w:rFonts w:hint="default" w:ascii="Times New Roman" w:hAnsi="Times New Roman" w:cs="Times New Roman"/>
                <w:color w:val="000000" w:themeColor="text1"/>
                <w:sz w:val="20"/>
                <w:szCs w:val="20"/>
                <w:highlight w:val="green"/>
                <w:lang w:eastAsia="zh-CN"/>
                <w14:textFill>
                  <w14:solidFill>
                    <w14:schemeClr w14:val="tx1"/>
                  </w14:solidFill>
                </w14:textFill>
              </w:rPr>
            </w:pPr>
            <w:r>
              <w:rPr>
                <w:rFonts w:hint="default" w:ascii="Times New Roman" w:hAnsi="Times New Roman" w:cs="Times New Roman"/>
                <w:color w:val="000000" w:themeColor="text1"/>
                <w:sz w:val="20"/>
                <w:szCs w:val="20"/>
                <w:highlight w:val="green"/>
                <w:lang w:eastAsia="zh-CN"/>
                <w14:textFill>
                  <w14:solidFill>
                    <w14:schemeClr w14:val="tx1"/>
                  </w14:solidFill>
                </w14:textFill>
              </w:rPr>
              <w:t>Agreement:</w:t>
            </w:r>
          </w:p>
          <w:p w14:paraId="42B81BF7">
            <w:pPr>
              <w:pStyle w:val="12"/>
              <w:numPr>
                <w:ilvl w:val="0"/>
                <w:numId w:val="10"/>
              </w:numPr>
              <w:tabs>
                <w:tab w:val="left" w:pos="840"/>
              </w:tabs>
              <w:spacing w:after="120"/>
              <w:ind w:firstLineChars="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RAN4 to consider the impact of UE speed, MRRT and OW and PW lengths on prediction accuracy requirements for temporal predictions.</w:t>
            </w:r>
          </w:p>
          <w:p w14:paraId="2C15AB26">
            <w:pPr>
              <w:pStyle w:val="12"/>
              <w:numPr>
                <w:ilvl w:val="1"/>
                <w:numId w:val="10"/>
              </w:numPr>
              <w:tabs>
                <w:tab w:val="left" w:pos="840"/>
              </w:tabs>
              <w:spacing w:after="120"/>
              <w:ind w:firstLineChars="0"/>
              <w:rPr>
                <w:rFonts w:hint="default" w:ascii="Times New Roman" w:hAnsi="Times New Roman" w:eastAsia="Yu Mincho" w:cs="Times New Roman"/>
                <w:sz w:val="20"/>
                <w:szCs w:val="20"/>
                <w:highlight w:val="green"/>
              </w:rPr>
            </w:pPr>
            <w:r>
              <w:rPr>
                <w:rFonts w:hint="default" w:ascii="Times New Roman" w:hAnsi="Times New Roman" w:eastAsia="Yu Mincho" w:cs="Times New Roman"/>
                <w:sz w:val="20"/>
                <w:szCs w:val="20"/>
                <w:highlight w:val="green"/>
              </w:rPr>
              <w:t>RAN4 to also consider number of measurements performed during OW and its impacts on the prediction accuracy.</w:t>
            </w:r>
          </w:p>
          <w:p w14:paraId="2F3D116B">
            <w:pPr>
              <w:pStyle w:val="12"/>
              <w:numPr>
                <w:ilvl w:val="0"/>
                <w:numId w:val="0"/>
              </w:numPr>
              <w:overflowPunct/>
              <w:autoSpaceDE/>
              <w:autoSpaceDN/>
              <w:adjustRightInd/>
              <w:spacing w:after="120"/>
              <w:textAlignment w:val="auto"/>
              <w:rPr>
                <w:rFonts w:hint="default" w:ascii="Times New Roman" w:hAnsi="Times New Roman" w:eastAsia="宋体" w:cs="Times New Roman"/>
                <w:color w:val="0070C0"/>
                <w:sz w:val="20"/>
                <w:szCs w:val="20"/>
                <w:lang w:eastAsia="zh-CN"/>
              </w:rPr>
            </w:pPr>
          </w:p>
          <w:p w14:paraId="356450C6">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47B8D1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1 (OPPO):</w:t>
            </w:r>
          </w:p>
          <w:p w14:paraId="72E0073D">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discuss the measurement period requirements for intra-frequency measurement temporal case A considering the impact of OW or PW length.</w:t>
            </w:r>
          </w:p>
          <w:p w14:paraId="17829A3C">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discuss the measurement period requirements for intra-frequency measurement temporal case B considering the impact of skipped measurement instances, e.g., based on MRRT values.</w:t>
            </w:r>
          </w:p>
          <w:p w14:paraId="0863B90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(Ericsson):</w:t>
            </w:r>
          </w:p>
          <w:p w14:paraId="74BD209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sz w:val="20"/>
                <w:szCs w:val="20"/>
              </w:rPr>
              <w:t xml:space="preserve">RAN4 to study the impact of measurement skipping within the OW on RAN4 requirement for temporal prediction case-B.  </w:t>
            </w:r>
          </w:p>
          <w:p w14:paraId="1698612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3 (ZTE): </w:t>
            </w:r>
          </w:p>
          <w:p w14:paraId="6ED2F6D8">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should discuss whether/how to update measurement delay requirements for AI/ML mobility.</w:t>
            </w:r>
          </w:p>
          <w:p w14:paraId="2E549DBA">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 (CMCC):</w:t>
            </w:r>
          </w:p>
          <w:p w14:paraId="7F33B9B7">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RRM measurement prediction, the measurement delay requirements need to be defined/updated</w:t>
            </w:r>
          </w:p>
          <w:p w14:paraId="7E6896D1">
            <w:pPr>
              <w:pStyle w:val="12"/>
              <w:numPr>
                <w:ilvl w:val="3"/>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0D6EBB27">
            <w:pPr>
              <w:pStyle w:val="12"/>
              <w:numPr>
                <w:ilvl w:val="3"/>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inter-frequency inter-cell frequency domain prediction, not all configured MOs need to be measuerd, which means that only the actually measured frequency layers are considered in the measurement delay requirements</w:t>
            </w:r>
          </w:p>
          <w:p w14:paraId="6C0E77F2">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5 (Huawei): </w:t>
            </w:r>
          </w:p>
          <w:p w14:paraId="021C6246">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The processing time of inference function may need to be considered in measurement reporting delay.</w:t>
            </w:r>
          </w:p>
          <w:p w14:paraId="15F2C583">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6 (Apple):</w:t>
            </w:r>
          </w:p>
          <w:p w14:paraId="1D90014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388D73E8">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7 (Qualcomm):  </w:t>
            </w:r>
          </w:p>
          <w:p w14:paraId="25A45BD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review the existing RRM requirement and outline the identified potential impacts at a high level, e.g.</w:t>
            </w:r>
          </w:p>
          <w:p w14:paraId="2D63B7F9">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Common aspects:</w:t>
            </w:r>
          </w:p>
          <w:p w14:paraId="65958AC5">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Adjustment of the length of observation and prediction windows depending on UE in DRX state and/or cycle, serving cell RSRP, etc.</w:t>
            </w:r>
          </w:p>
          <w:p w14:paraId="34F99410">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Measurement and scheduling restrictions in the prediction window.</w:t>
            </w:r>
          </w:p>
          <w:p w14:paraId="65B20440">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Definition of known vs. unknown target cells for mobility and/or PSCell/SCell addition and activation.</w:t>
            </w:r>
          </w:p>
          <w:p w14:paraId="7959EE4D">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Side conditions such as requirement applicability rules.</w:t>
            </w:r>
          </w:p>
          <w:p w14:paraId="0A180520">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Overall budget in terms of mandatory capability on the number of cells and frequency layers for actual measurements and inference-based measurements.</w:t>
            </w:r>
          </w:p>
          <w:p w14:paraId="5689478F">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Scenario 2: FR1 to FR1 intra-frequency temporal domain case B, Intra-cell</w:t>
            </w:r>
          </w:p>
          <w:p w14:paraId="6B8B15DC">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Uniform measurement approach for cells in the same frequency layer</w:t>
            </w:r>
          </w:p>
          <w:p w14:paraId="51D27BC0">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Scenario 3: FR1 to FR1 inter-frequency, Inter-cell</w:t>
            </w:r>
          </w:p>
          <w:p w14:paraId="12E26512">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CSSF</w:t>
            </w:r>
          </w:p>
          <w:p w14:paraId="124C21BC">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MG</w:t>
            </w:r>
          </w:p>
          <w:p w14:paraId="0DB6D3A2">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Scenario 4: FR2 to FR2 intra-frequency temporal domain case A, Intra-cell</w:t>
            </w:r>
          </w:p>
          <w:p w14:paraId="39E1B961">
            <w:pPr>
              <w:pStyle w:val="12"/>
              <w:numPr>
                <w:ilvl w:val="4"/>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Uniform measurement approach for cells in the same frequency layer</w:t>
            </w:r>
          </w:p>
          <w:p w14:paraId="23919BAD">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8 (Xiaomi): </w:t>
            </w:r>
          </w:p>
          <w:p w14:paraId="240E02B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Observation window and prediction window defined in RAN2 will have RRM impact:</w:t>
            </w:r>
          </w:p>
          <w:p w14:paraId="488B9354">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Observation window will have impact on measurement duration</w:t>
            </w:r>
          </w:p>
          <w:p w14:paraId="2D9FDDBA">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Prediction window will have impact on scheduling restriction</w:t>
            </w:r>
          </w:p>
          <w:p w14:paraId="6909E4B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9 (Samsung): </w:t>
            </w:r>
          </w:p>
          <w:p w14:paraId="3B98FB0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discuss the RRM impact of measurement gap reduction in measurement period/ scheduling restriction and CSSF enhancement for inter-frequency prediction.</w:t>
            </w:r>
          </w:p>
          <w:p w14:paraId="76E3299C">
            <w:pPr>
              <w:pStyle w:val="12"/>
              <w:numPr>
                <w:ilvl w:val="1"/>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10 (MediaTek): </w:t>
            </w:r>
          </w:p>
          <w:p w14:paraId="03C03F5C">
            <w:pPr>
              <w:pStyle w:val="12"/>
              <w:numPr>
                <w:ilvl w:val="2"/>
                <w:numId w:val="4"/>
              </w:numPr>
              <w:ind w:firstLineChars="0"/>
              <w:rPr>
                <w:rFonts w:hint="default" w:ascii="Times New Roman" w:hAnsi="Times New Roman" w:eastAsia="宋体" w:cs="Times New Roman"/>
                <w:sz w:val="20"/>
                <w:szCs w:val="20"/>
                <w:lang w:eastAsia="zh-CN"/>
              </w:rPr>
            </w:pPr>
            <w:r>
              <w:rPr>
                <w:rFonts w:hint="default" w:ascii="Times New Roman" w:hAnsi="Times New Roman" w:cs="Times New Roman"/>
                <w:sz w:val="20"/>
                <w:szCs w:val="20"/>
              </w:rPr>
              <w:t>Wait for more progress in AI/ML BM to study the impact on measurement report delay requirements for AI mobility</w:t>
            </w:r>
          </w:p>
          <w:p w14:paraId="408EA71C">
            <w:pPr>
              <w:pStyle w:val="12"/>
              <w:numPr>
                <w:ilvl w:val="2"/>
                <w:numId w:val="4"/>
              </w:numPr>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Wait for more progress in AI/ML BM case 2 to study the impact on measurement delay requirements for AI mobility Scenario 2</w:t>
            </w:r>
            <w:r>
              <w:rPr>
                <w:rFonts w:hint="default" w:ascii="Times New Roman" w:hAnsi="Times New Roman" w:eastAsia="宋体" w:cs="Times New Roman"/>
                <w:sz w:val="20"/>
                <w:szCs w:val="20"/>
                <w:lang w:eastAsia="zh-CN"/>
              </w:rPr>
              <w:t>.</w:t>
            </w:r>
          </w:p>
        </w:tc>
      </w:tr>
    </w:tbl>
    <w:p w14:paraId="2D07146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eastAsia" w:ascii="Times New Roman" w:hAnsi="Times New Roman" w:eastAsia="等线" w:cs="Times New Roman"/>
          <w:bCs/>
          <w:iCs/>
          <w:sz w:val="20"/>
          <w:szCs w:val="20"/>
          <w:lang w:val="en-US" w:eastAsia="zh-CN"/>
        </w:rPr>
      </w:pPr>
    </w:p>
    <w:p w14:paraId="703B604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RAN2 agreed the KPIs about measurement reduction rate, which is defined in the temporal domain (called MRRT) by assuming same length of measurement time instances and spatial domain respectively(called MRRS). </w:t>
      </w:r>
    </w:p>
    <w:p w14:paraId="0F248F62">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MRRT = skipped measurement time instances / total measurement time instances</w:t>
      </w:r>
    </w:p>
    <w:p w14:paraId="13A441E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MRRS = skipped beams to be measured/ total beams to be measured</w:t>
      </w:r>
    </w:p>
    <w:p w14:paraId="7B33641C">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legacy, there is no RAN4 requirements on measurement reduction, whether to introduce related requirements for AI/ML based mobility can be further discussed.</w:t>
      </w:r>
    </w:p>
    <w:p w14:paraId="10A406C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098FB084">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consideration is that the measurement delay requirements may also need to be newly defined for some scenarios. Scenario 3 is FR1 to FR1 inter-frequency inter-cell prediction, for example, prediction from low-frequency cell to high-frequency cell, which means that not all configured MOs need to be measuerd. The legacy measurement delay is scaled with the number of MOs, which need to be updated to only consider the actually measured frequency layers. As for the intra-frequency temporal domain prediction, e.g. case B, the lagacy measurement delay also need to be updated. In legacy, SMTC or MGRP is in use in the measurement delay requirements, while for tempory domain prediction, UE only measure subset of SMTC/MGRP, and predict the results of other measurement occasions. </w:t>
      </w:r>
    </w:p>
    <w:p w14:paraId="52B4549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6AD742E6">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570326A2">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75DB2688">
      <w:pPr>
        <w:spacing w:after="180" w:line="240" w:lineRule="exact"/>
        <w:rPr>
          <w:rFonts w:hint="default" w:ascii="Times New Roman" w:hAnsi="Times New Roman" w:eastAsia="等线"/>
          <w:bCs/>
          <w:iCs/>
          <w:sz w:val="20"/>
          <w:szCs w:val="20"/>
          <w:lang w:val="en-US" w:eastAsia="zh-CN"/>
        </w:rPr>
      </w:pPr>
    </w:p>
    <w:bookmarkEnd w:id="7"/>
    <w:bookmarkEnd w:id="8"/>
    <w:p w14:paraId="2F63EDFF">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 </w:t>
      </w:r>
      <w:r>
        <w:rPr>
          <w:rFonts w:hint="eastAsia" w:ascii="Times New Roman" w:hAnsi="Times New Roman"/>
          <w:sz w:val="20"/>
          <w:szCs w:val="20"/>
          <w:lang w:val="en-US" w:eastAsia="zh-CN"/>
        </w:rPr>
        <w:t>RAN4 impacts for RRM measurement prediction</w:t>
      </w:r>
      <w:r>
        <w:rPr>
          <w:rFonts w:hint="eastAsia" w:ascii="Times New Roman" w:hAnsi="Times New Roman"/>
          <w:sz w:val="20"/>
          <w:szCs w:val="20"/>
        </w:rPr>
        <w:t>. The proposals are:</w:t>
      </w:r>
    </w:p>
    <w:p w14:paraId="7DCCB086">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Proposal 1: for relative RSRP prediction accuracy, it is proposed that Beam 1 and Beam 2 can be from same cell or different cells</w:t>
      </w:r>
    </w:p>
    <w:p w14:paraId="7FEC0CAE">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For scenario 2 and 4, </w:t>
      </w:r>
      <w:r>
        <w:rPr>
          <w:rFonts w:hint="default" w:ascii="Times New Roman" w:hAnsi="Times New Roman" w:eastAsia="等线" w:cs="Times New Roman"/>
          <w:b/>
          <w:bCs w:val="0"/>
          <w:i/>
          <w:iCs w:val="0"/>
          <w:sz w:val="20"/>
          <w:szCs w:val="20"/>
          <w:lang w:val="en-US" w:eastAsia="zh-CN"/>
        </w:rPr>
        <w:t xml:space="preserve">Beam 1 and Beam 2 </w:t>
      </w:r>
      <w:r>
        <w:rPr>
          <w:rFonts w:hint="eastAsia" w:ascii="Times New Roman" w:hAnsi="Times New Roman" w:eastAsia="等线" w:cs="Times New Roman"/>
          <w:b/>
          <w:bCs w:val="0"/>
          <w:i/>
          <w:iCs w:val="0"/>
          <w:sz w:val="20"/>
          <w:szCs w:val="20"/>
          <w:lang w:val="en-US" w:eastAsia="zh-CN"/>
        </w:rPr>
        <w:t>are</w:t>
      </w:r>
      <w:r>
        <w:rPr>
          <w:rFonts w:hint="default" w:ascii="Times New Roman" w:hAnsi="Times New Roman" w:eastAsia="等线" w:cs="Times New Roman"/>
          <w:b/>
          <w:bCs w:val="0"/>
          <w:i/>
          <w:iCs w:val="0"/>
          <w:sz w:val="20"/>
          <w:szCs w:val="20"/>
          <w:lang w:val="en-US" w:eastAsia="zh-CN"/>
        </w:rPr>
        <w:t xml:space="preserve"> from same cell</w:t>
      </w:r>
    </w:p>
    <w:p w14:paraId="4D2033AD">
      <w:pPr>
        <w:keepNext w:val="0"/>
        <w:keepLines w:val="0"/>
        <w:pageBreakBefore w:val="0"/>
        <w:widowControl w:val="0"/>
        <w:numPr>
          <w:ilvl w:val="0"/>
          <w:numId w:val="5"/>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lang w:val="en-US" w:eastAsia="zh-CN"/>
        </w:rPr>
        <w:t xml:space="preserve">For scenario 3, </w:t>
      </w:r>
      <w:r>
        <w:rPr>
          <w:rFonts w:hint="default" w:ascii="Times New Roman" w:hAnsi="Times New Roman" w:eastAsia="等线" w:cs="Times New Roman"/>
          <w:b/>
          <w:bCs w:val="0"/>
          <w:i/>
          <w:iCs w:val="0"/>
          <w:sz w:val="20"/>
          <w:szCs w:val="20"/>
          <w:lang w:val="en-US" w:eastAsia="zh-CN"/>
        </w:rPr>
        <w:t xml:space="preserve">Beam 1 and Beam 2 </w:t>
      </w:r>
      <w:r>
        <w:rPr>
          <w:rFonts w:hint="eastAsia" w:ascii="Times New Roman" w:hAnsi="Times New Roman" w:eastAsia="等线" w:cs="Times New Roman"/>
          <w:b/>
          <w:bCs w:val="0"/>
          <w:i/>
          <w:iCs w:val="0"/>
          <w:sz w:val="20"/>
          <w:szCs w:val="20"/>
          <w:lang w:val="en-US" w:eastAsia="zh-CN"/>
        </w:rPr>
        <w:t>are</w:t>
      </w:r>
      <w:r>
        <w:rPr>
          <w:rFonts w:hint="default" w:ascii="Times New Roman" w:hAnsi="Times New Roman" w:eastAsia="等线" w:cs="Times New Roman"/>
          <w:b/>
          <w:bCs w:val="0"/>
          <w:i/>
          <w:iCs w:val="0"/>
          <w:sz w:val="20"/>
          <w:szCs w:val="20"/>
          <w:lang w:val="en-US" w:eastAsia="zh-CN"/>
        </w:rPr>
        <w:t xml:space="preserve"> from </w:t>
      </w:r>
      <w:r>
        <w:rPr>
          <w:rFonts w:hint="eastAsia" w:ascii="Times New Roman" w:hAnsi="Times New Roman" w:eastAsia="等线" w:cs="Times New Roman"/>
          <w:b/>
          <w:bCs w:val="0"/>
          <w:i/>
          <w:iCs w:val="0"/>
          <w:sz w:val="20"/>
          <w:szCs w:val="20"/>
          <w:lang w:val="en-US" w:eastAsia="zh-CN"/>
        </w:rPr>
        <w:t>different</w:t>
      </w:r>
      <w:r>
        <w:rPr>
          <w:rFonts w:hint="default" w:ascii="Times New Roman" w:hAnsi="Times New Roman" w:eastAsia="等线" w:cs="Times New Roman"/>
          <w:b/>
          <w:bCs w:val="0"/>
          <w:i/>
          <w:iCs w:val="0"/>
          <w:sz w:val="20"/>
          <w:szCs w:val="20"/>
          <w:lang w:val="en-US" w:eastAsia="zh-CN"/>
        </w:rPr>
        <w:t xml:space="preserve"> cell</w:t>
      </w:r>
      <w:r>
        <w:rPr>
          <w:rFonts w:hint="eastAsia" w:ascii="Times New Roman" w:hAnsi="Times New Roman" w:eastAsia="等线" w:cs="Times New Roman"/>
          <w:b/>
          <w:bCs w:val="0"/>
          <w:i/>
          <w:iCs w:val="0"/>
          <w:sz w:val="20"/>
          <w:szCs w:val="20"/>
          <w:lang w:val="en-US" w:eastAsia="zh-CN"/>
        </w:rPr>
        <w:t>.</w:t>
      </w:r>
      <w:r>
        <w:rPr>
          <w:rFonts w:hint="eastAsia" w:ascii="Times New Roman" w:hAnsi="Times New Roman" w:cs="Times New Roman"/>
          <w:b/>
          <w:bCs w:val="0"/>
          <w:i/>
          <w:iCs w:val="0"/>
          <w:sz w:val="20"/>
          <w:szCs w:val="20"/>
          <w:lang w:val="en-US" w:eastAsia="zh-CN"/>
        </w:rPr>
        <w:t xml:space="preserve"> </w:t>
      </w:r>
    </w:p>
    <w:p w14:paraId="7166B28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jc w:val="both"/>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w:t>
      </w:r>
      <w:r>
        <w:rPr>
          <w:rFonts w:hint="eastAsia" w:ascii="Times New Roman" w:hAnsi="Times New Roman" w:cs="Times New Roman"/>
          <w:b/>
          <w:bCs w:val="0"/>
          <w:i/>
          <w:iCs w:val="0"/>
          <w:sz w:val="20"/>
          <w:szCs w:val="20"/>
          <w:lang w:val="en-US" w:eastAsia="zh-CN"/>
        </w:rPr>
        <w:t xml:space="preserve">for relative RSRP prediction accuracy, </w:t>
      </w:r>
      <w:r>
        <w:rPr>
          <w:rFonts w:hint="default" w:ascii="Times New Roman" w:hAnsi="Times New Roman" w:eastAsia="Yu Mincho" w:cs="Times New Roman"/>
          <w:b/>
          <w:bCs w:val="0"/>
          <w:i/>
          <w:iCs w:val="0"/>
          <w:sz w:val="20"/>
          <w:szCs w:val="20"/>
          <w:highlight w:val="none"/>
        </w:rPr>
        <w:t xml:space="preserve">ground truth </w:t>
      </w:r>
      <w:r>
        <w:rPr>
          <w:rFonts w:hint="eastAsia" w:ascii="Times New Roman" w:hAnsi="Times New Roman" w:cs="Times New Roman"/>
          <w:b/>
          <w:bCs w:val="0"/>
          <w:i/>
          <w:iCs w:val="0"/>
          <w:sz w:val="20"/>
          <w:szCs w:val="20"/>
          <w:highlight w:val="none"/>
          <w:lang w:val="en-US" w:eastAsia="zh-CN"/>
        </w:rPr>
        <w:t>is</w:t>
      </w:r>
      <w:r>
        <w:rPr>
          <w:rFonts w:hint="default" w:ascii="Times New Roman" w:hAnsi="Times New Roman" w:eastAsia="Yu Mincho" w:cs="Times New Roman"/>
          <w:b/>
          <w:bCs w:val="0"/>
          <w:i/>
          <w:iCs w:val="0"/>
          <w:sz w:val="20"/>
          <w:szCs w:val="20"/>
          <w:highlight w:val="none"/>
        </w:rPr>
        <w:t xml:space="preserve"> reported</w:t>
      </w:r>
      <w:r>
        <w:rPr>
          <w:rFonts w:hint="eastAsia" w:ascii="Times New Roman" w:hAnsi="Times New Roman" w:eastAsia="等线"/>
          <w:b/>
          <w:bCs w:val="0"/>
          <w:i/>
          <w:iCs w:val="0"/>
          <w:sz w:val="20"/>
          <w:szCs w:val="20"/>
          <w:lang w:val="en-US" w:eastAsia="zh-CN"/>
        </w:rPr>
        <w:t xml:space="preserve"> by UE at high SNR for FR2, FFS </w:t>
      </w:r>
      <w:r>
        <w:rPr>
          <w:rFonts w:hint="default" w:ascii="Times New Roman" w:hAnsi="Times New Roman" w:eastAsia="Yu Mincho" w:cs="Times New Roman"/>
          <w:b/>
          <w:bCs w:val="0"/>
          <w:i/>
          <w:iCs w:val="0"/>
          <w:sz w:val="20"/>
          <w:szCs w:val="20"/>
          <w:highlight w:val="none"/>
        </w:rPr>
        <w:t xml:space="preserve">ground truth </w:t>
      </w:r>
      <w:r>
        <w:rPr>
          <w:rFonts w:hint="eastAsia" w:ascii="Times New Roman" w:hAnsi="Times New Roman" w:eastAsia="等线"/>
          <w:b/>
          <w:bCs w:val="0"/>
          <w:i/>
          <w:iCs w:val="0"/>
          <w:sz w:val="20"/>
          <w:szCs w:val="20"/>
          <w:lang w:val="en-US" w:eastAsia="zh-CN"/>
        </w:rPr>
        <w:t>for FR1.</w:t>
      </w:r>
    </w:p>
    <w:p w14:paraId="2599202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table 2 provide the comparison between Alternative 1 and Alternative 2 for ground truth definition for FR1.</w:t>
      </w:r>
    </w:p>
    <w:p w14:paraId="37671F19">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Table 2 Comparison between Alternative 1 and Alternative 2 for ground truth definition for FR1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6"/>
        <w:gridCol w:w="3780"/>
        <w:gridCol w:w="3595"/>
      </w:tblGrid>
      <w:tr w14:paraId="055D7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66B71738">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tc>
        <w:tc>
          <w:tcPr>
            <w:tcW w:w="3780" w:type="dxa"/>
          </w:tcPr>
          <w:p w14:paraId="636C9AE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1</w:t>
            </w:r>
          </w:p>
          <w:p w14:paraId="2B3D86D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transmitted or reception power</w:t>
            </w:r>
            <w:r>
              <w:rPr>
                <w:rFonts w:hint="eastAsia" w:ascii="Times New Roman" w:hAnsi="Times New Roman" w:eastAsia="等线"/>
                <w:b/>
                <w:bCs w:val="0"/>
                <w:iCs/>
                <w:sz w:val="20"/>
                <w:szCs w:val="20"/>
                <w:lang w:val="en-US" w:eastAsia="zh-CN"/>
              </w:rPr>
              <w:t>)</w:t>
            </w:r>
          </w:p>
        </w:tc>
        <w:tc>
          <w:tcPr>
            <w:tcW w:w="3595" w:type="dxa"/>
          </w:tcPr>
          <w:p w14:paraId="77F0051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Alternative 2</w:t>
            </w:r>
          </w:p>
          <w:p w14:paraId="632FE19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r>
              <w:rPr>
                <w:rFonts w:hint="eastAsia" w:ascii="Times New Roman" w:hAnsi="Times New Roman" w:eastAsia="等线"/>
                <w:b/>
                <w:bCs w:val="0"/>
                <w:iCs/>
                <w:sz w:val="20"/>
                <w:szCs w:val="20"/>
                <w:lang w:val="en-US" w:eastAsia="zh-CN"/>
              </w:rPr>
              <w:t xml:space="preserve"> (</w:t>
            </w:r>
            <w:r>
              <w:rPr>
                <w:rFonts w:hint="default" w:ascii="Times New Roman" w:hAnsi="Times New Roman" w:eastAsia="Yu Mincho" w:cs="Times New Roman"/>
                <w:b/>
                <w:bCs w:val="0"/>
                <w:sz w:val="20"/>
                <w:szCs w:val="20"/>
                <w:highlight w:val="none"/>
              </w:rPr>
              <w:t>Ground truth for FR1 will be based on the reported measurement value under certain conditions</w:t>
            </w:r>
            <w:r>
              <w:rPr>
                <w:rFonts w:hint="eastAsia" w:ascii="Times New Roman" w:hAnsi="Times New Roman" w:eastAsia="等线"/>
                <w:b/>
                <w:bCs w:val="0"/>
                <w:iCs/>
                <w:sz w:val="20"/>
                <w:szCs w:val="20"/>
                <w:lang w:val="en-US" w:eastAsia="zh-CN"/>
              </w:rPr>
              <w:t>)</w:t>
            </w:r>
          </w:p>
        </w:tc>
      </w:tr>
      <w:tr w14:paraId="7EFC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5B3A4B1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L3 filtering</w:t>
            </w:r>
          </w:p>
        </w:tc>
        <w:tc>
          <w:tcPr>
            <w:tcW w:w="3780" w:type="dxa"/>
          </w:tcPr>
          <w:p w14:paraId="02ABE352">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If L3 filtering is considered, how to perform L3 filtering is based on </w:t>
            </w:r>
            <w:r>
              <w:rPr>
                <w:rFonts w:ascii="Times New Roman" w:hAnsi="Times New Roman" w:cs="Times New Roman"/>
                <w:sz w:val="21"/>
                <w:szCs w:val="21"/>
              </w:rPr>
              <w:t>L3 filtering formula</w:t>
            </w:r>
            <w:r>
              <w:rPr>
                <w:rFonts w:hint="eastAsia" w:ascii="Times New Roman" w:hAnsi="Times New Roman" w:eastAsia="等线" w:cs="Times New Roman"/>
                <w:bCs/>
                <w:iCs/>
                <w:sz w:val="20"/>
                <w:szCs w:val="20"/>
                <w:vertAlign w:val="baseline"/>
                <w:lang w:val="en-US" w:eastAsia="zh-CN"/>
              </w:rPr>
              <w:t xml:space="preserve"> with filtering coefficient configured, and TE has no such information  </w:t>
            </w:r>
          </w:p>
        </w:tc>
        <w:tc>
          <w:tcPr>
            <w:tcW w:w="3595" w:type="dxa"/>
          </w:tcPr>
          <w:p w14:paraId="2F5C62AD">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393A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182D96EF">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iCs/>
                <w:sz w:val="20"/>
                <w:szCs w:val="20"/>
                <w:vertAlign w:val="baseline"/>
                <w:lang w:val="en-US" w:eastAsia="zh-CN"/>
              </w:rPr>
            </w:pPr>
            <w:r>
              <w:rPr>
                <w:rFonts w:hint="default" w:ascii="Times New Roman" w:hAnsi="Times New Roman" w:eastAsia="Yu Mincho" w:cs="Times New Roman"/>
                <w:b/>
                <w:bCs/>
                <w:sz w:val="20"/>
                <w:szCs w:val="20"/>
                <w:highlight w:val="none"/>
              </w:rPr>
              <w:t>Impact of L</w:t>
            </w:r>
            <w:r>
              <w:rPr>
                <w:rFonts w:hint="eastAsia" w:ascii="Times New Roman" w:hAnsi="Times New Roman" w:cs="Times New Roman"/>
                <w:b/>
                <w:bCs/>
                <w:sz w:val="20"/>
                <w:szCs w:val="20"/>
                <w:highlight w:val="none"/>
                <w:lang w:val="en-US" w:eastAsia="zh-CN"/>
              </w:rPr>
              <w:t>1</w:t>
            </w:r>
            <w:r>
              <w:rPr>
                <w:rFonts w:hint="default" w:ascii="Times New Roman" w:hAnsi="Times New Roman" w:eastAsia="Yu Mincho" w:cs="Times New Roman"/>
                <w:b/>
                <w:bCs/>
                <w:sz w:val="20"/>
                <w:szCs w:val="20"/>
                <w:highlight w:val="none"/>
              </w:rPr>
              <w:t xml:space="preserve"> filtering</w:t>
            </w:r>
          </w:p>
        </w:tc>
        <w:tc>
          <w:tcPr>
            <w:tcW w:w="3780" w:type="dxa"/>
          </w:tcPr>
          <w:p w14:paraId="5D107586">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How to perform L1 filtering, e,g, the number of samples, whether sliding or non-sliding filtering in use, is up to UE implementation, and TE has no such information </w:t>
            </w:r>
          </w:p>
        </w:tc>
        <w:tc>
          <w:tcPr>
            <w:tcW w:w="3595" w:type="dxa"/>
          </w:tcPr>
          <w:p w14:paraId="2B4B0E3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eastAsia"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r>
      <w:tr w14:paraId="1BAA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180E7691">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Timing window</w:t>
            </w:r>
          </w:p>
        </w:tc>
        <w:tc>
          <w:tcPr>
            <w:tcW w:w="3780" w:type="dxa"/>
          </w:tcPr>
          <w:p w14:paraId="3782C0CE">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jc w:val="center"/>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N/A</w:t>
            </w:r>
          </w:p>
        </w:tc>
        <w:tc>
          <w:tcPr>
            <w:tcW w:w="3595" w:type="dxa"/>
          </w:tcPr>
          <w:p w14:paraId="14E07317">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For Case B (target goal is to reduce measurement overhead), the time instance in prediction window will not be measured, which means UE cannot measure and report the ground truth.</w:t>
            </w:r>
          </w:p>
          <w:p w14:paraId="28CADCBA">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drawing>
                <wp:inline distT="0" distB="0" distL="114300" distR="114300">
                  <wp:extent cx="1987550" cy="914400"/>
                  <wp:effectExtent l="0" t="0" r="635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1987550" cy="914400"/>
                          </a:xfrm>
                          <a:prstGeom prst="rect">
                            <a:avLst/>
                          </a:prstGeom>
                          <a:noFill/>
                          <a:ln>
                            <a:noFill/>
                          </a:ln>
                        </pic:spPr>
                      </pic:pic>
                    </a:graphicData>
                  </a:graphic>
                </wp:inline>
              </w:drawing>
            </w:r>
            <w:r>
              <w:rPr>
                <w:rFonts w:hint="eastAsia" w:ascii="Times New Roman" w:hAnsi="Times New Roman" w:eastAsia="等线" w:cs="Times New Roman"/>
                <w:bCs/>
                <w:iCs/>
                <w:sz w:val="20"/>
                <w:szCs w:val="20"/>
                <w:vertAlign w:val="baseline"/>
                <w:lang w:val="en-US" w:eastAsia="zh-CN"/>
              </w:rPr>
              <w:t xml:space="preserve"> </w:t>
            </w:r>
          </w:p>
        </w:tc>
      </w:tr>
      <w:tr w14:paraId="06BB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6FEAC08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cs="Times New Roman"/>
                <w:b/>
                <w:bCs/>
                <w:sz w:val="20"/>
                <w:szCs w:val="20"/>
                <w:highlight w:val="none"/>
                <w:lang w:val="en-US" w:eastAsia="zh-CN"/>
              </w:rPr>
              <w:t>Channel condition</w:t>
            </w:r>
          </w:p>
        </w:tc>
        <w:tc>
          <w:tcPr>
            <w:tcW w:w="3780" w:type="dxa"/>
            <w:shd w:val="clear" w:color="auto" w:fill="auto"/>
            <w:vAlign w:val="top"/>
          </w:tcPr>
          <w:p w14:paraId="582CBFC3">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66E48E7C">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 xml:space="preserve">For fading channel, the channel condition at T1 to get ground truth and the channel condition at T2 to predict is different, which result in mismatch </w:t>
            </w:r>
          </w:p>
        </w:tc>
      </w:tr>
      <w:tr w14:paraId="7D1A4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6" w:type="dxa"/>
          </w:tcPr>
          <w:p w14:paraId="0A33A390">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
                <w:bCs/>
                <w:iCs/>
                <w:sz w:val="20"/>
                <w:szCs w:val="20"/>
                <w:vertAlign w:val="baseline"/>
                <w:lang w:val="en-US" w:eastAsia="zh-CN"/>
              </w:rPr>
            </w:pPr>
            <w:r>
              <w:rPr>
                <w:rFonts w:hint="eastAsia" w:ascii="Times New Roman" w:hAnsi="Times New Roman" w:eastAsia="等线" w:cs="Times New Roman"/>
                <w:b/>
                <w:bCs/>
                <w:iCs/>
                <w:sz w:val="20"/>
                <w:szCs w:val="20"/>
                <w:vertAlign w:val="baseline"/>
                <w:lang w:val="en-US" w:eastAsia="zh-CN"/>
              </w:rPr>
              <w:t>UE cheating issue</w:t>
            </w:r>
          </w:p>
        </w:tc>
        <w:tc>
          <w:tcPr>
            <w:tcW w:w="3780" w:type="dxa"/>
            <w:shd w:val="clear" w:color="auto" w:fill="auto"/>
            <w:vAlign w:val="top"/>
          </w:tcPr>
          <w:p w14:paraId="2EDA750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ind w:left="0" w:leftChars="0" w:firstLine="0" w:firstLineChars="0"/>
              <w:jc w:val="center"/>
              <w:textAlignment w:val="auto"/>
              <w:rPr>
                <w:rFonts w:hint="eastAsia" w:ascii="Times New Roman" w:hAnsi="Times New Roman" w:eastAsia="等线" w:cs="Times New Roman"/>
                <w:bCs/>
                <w:iCs/>
                <w:kern w:val="0"/>
                <w:sz w:val="20"/>
                <w:szCs w:val="20"/>
                <w:vertAlign w:val="baseline"/>
                <w:lang w:val="en-US" w:eastAsia="zh-CN" w:bidi="ar-SA"/>
              </w:rPr>
            </w:pPr>
            <w:r>
              <w:rPr>
                <w:rFonts w:hint="eastAsia" w:ascii="Times New Roman" w:hAnsi="Times New Roman" w:eastAsia="等线" w:cs="Times New Roman"/>
                <w:bCs/>
                <w:iCs/>
                <w:sz w:val="20"/>
                <w:szCs w:val="20"/>
                <w:vertAlign w:val="baseline"/>
                <w:lang w:val="en-US" w:eastAsia="zh-CN"/>
              </w:rPr>
              <w:t>N/A</w:t>
            </w:r>
          </w:p>
        </w:tc>
        <w:tc>
          <w:tcPr>
            <w:tcW w:w="3595" w:type="dxa"/>
          </w:tcPr>
          <w:p w14:paraId="02F2232B">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default" w:ascii="Times New Roman" w:hAnsi="Times New Roman" w:eastAsia="等线" w:cs="Times New Roman"/>
                <w:bCs/>
                <w:iCs/>
                <w:sz w:val="20"/>
                <w:szCs w:val="20"/>
                <w:vertAlign w:val="baseline"/>
                <w:lang w:val="en-US" w:eastAsia="zh-CN"/>
              </w:rPr>
            </w:pPr>
            <w:r>
              <w:rPr>
                <w:rFonts w:hint="eastAsia" w:ascii="Times New Roman" w:hAnsi="Times New Roman" w:eastAsia="等线" w:cs="Times New Roman"/>
                <w:bCs/>
                <w:iCs/>
                <w:sz w:val="20"/>
                <w:szCs w:val="20"/>
                <w:vertAlign w:val="baseline"/>
                <w:lang w:val="en-US" w:eastAsia="zh-CN"/>
              </w:rPr>
              <w:t>Since both the ground truth and predicted value are reported by UE, there may be cheating issue</w:t>
            </w:r>
          </w:p>
        </w:tc>
      </w:tr>
    </w:tbl>
    <w:p w14:paraId="1B105364">
      <w:pPr>
        <w:pStyle w:val="12"/>
        <w:keepNext w:val="0"/>
        <w:keepLines w:val="0"/>
        <w:pageBreakBefore w:val="0"/>
        <w:widowControl/>
        <w:numPr>
          <w:ilvl w:val="0"/>
          <w:numId w:val="0"/>
        </w:numPr>
        <w:kinsoku/>
        <w:wordWrap/>
        <w:overflowPunct/>
        <w:topLinePunct w:val="0"/>
        <w:autoSpaceDE/>
        <w:autoSpaceDN/>
        <w:bidi w:val="0"/>
        <w:adjustRightInd/>
        <w:snapToGrid/>
        <w:spacing w:before="120" w:after="120"/>
        <w:textAlignment w:val="auto"/>
        <w:rPr>
          <w:rFonts w:hint="eastAsia" w:ascii="Times New Roman" w:hAnsi="Times New Roman" w:eastAsia="等线" w:cs="Times New Roman"/>
          <w:b/>
          <w:bCs w:val="0"/>
          <w:iCs/>
          <w:sz w:val="20"/>
          <w:szCs w:val="20"/>
          <w:vertAlign w:val="baseline"/>
          <w:lang w:val="en-US" w:eastAsia="zh-CN"/>
        </w:rPr>
      </w:pPr>
    </w:p>
    <w:p w14:paraId="7EF5D7D9">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except L3 cell level RSRP (Point C) prediction, it is proposed that RAN4 to consider L1 beam-level (Point A</w:t>
      </w:r>
      <w:r>
        <w:rPr>
          <w:rFonts w:hint="eastAsia" w:ascii="Times New Roman" w:hAnsi="Times New Roman" w:eastAsia="等线"/>
          <w:b/>
          <w:bCs w:val="0"/>
          <w:i/>
          <w:iCs w:val="0"/>
          <w:sz w:val="20"/>
          <w:szCs w:val="20"/>
          <w:vertAlign w:val="superscript"/>
          <w:lang w:val="en-US" w:eastAsia="zh-CN"/>
        </w:rPr>
        <w:t>1</w:t>
      </w:r>
      <w:r>
        <w:rPr>
          <w:rFonts w:hint="eastAsia" w:ascii="Times New Roman" w:hAnsi="Times New Roman" w:eastAsia="等线"/>
          <w:b/>
          <w:bCs w:val="0"/>
          <w:i/>
          <w:iCs w:val="0"/>
          <w:sz w:val="20"/>
          <w:szCs w:val="20"/>
          <w:lang w:val="en-US" w:eastAsia="zh-CN"/>
        </w:rPr>
        <w:t>). And it is proposed that L3 beam-level (Point E) can be deprioritized based on RAN2 agreements.</w:t>
      </w:r>
    </w:p>
    <w:p w14:paraId="0398C6F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discuss whether to introduce RAN4 requirements about MRRT and MRRS.</w:t>
      </w:r>
    </w:p>
    <w:p w14:paraId="14671D2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RRM measurement prediction, the measurement delay requirements need to be defined/updated</w:t>
      </w:r>
    </w:p>
    <w:p w14:paraId="3CB6854D">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For intra-frequency temporal domain prediction, UE will skip some measurement occasions, which means that only subset of measurement occasions are measured, as a result, SMTC and/or MGRP cannot be directly used in the measurement delay requirements as legacy</w:t>
      </w:r>
    </w:p>
    <w:p w14:paraId="25087A04">
      <w:pPr>
        <w:keepNext w:val="0"/>
        <w:keepLines w:val="0"/>
        <w:pageBreakBefore w:val="0"/>
        <w:widowControl w:val="0"/>
        <w:numPr>
          <w:ilvl w:val="0"/>
          <w:numId w:val="11"/>
        </w:numPr>
        <w:kinsoku/>
        <w:wordWrap/>
        <w:overflowPunct/>
        <w:topLinePunct w:val="0"/>
        <w:autoSpaceDE/>
        <w:autoSpaceDN/>
        <w:bidi w:val="0"/>
        <w:adjustRightInd/>
        <w:snapToGrid/>
        <w:spacing w:after="180" w:line="240" w:lineRule="auto"/>
        <w:ind w:left="420" w:leftChars="0" w:hanging="420" w:firstLineChars="0"/>
        <w:textAlignment w:val="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For inter-frequency inter-cell frequency domain prediction, not all configured MOs need to be measuerd, which means that only the actually measured frequency layers are considered in the measurement delay requirements</w:t>
      </w:r>
    </w:p>
    <w:p w14:paraId="6352885F">
      <w:pPr>
        <w:keepNext w:val="0"/>
        <w:keepLines w:val="0"/>
        <w:pageBreakBefore w:val="0"/>
        <w:widowControl w:val="0"/>
        <w:numPr>
          <w:ilvl w:val="0"/>
          <w:numId w:val="0"/>
        </w:numPr>
        <w:kinsoku/>
        <w:wordWrap/>
        <w:overflowPunct/>
        <w:topLinePunct w:val="0"/>
        <w:autoSpaceDE/>
        <w:autoSpaceDN/>
        <w:bidi w:val="0"/>
        <w:adjustRightInd/>
        <w:snapToGrid/>
        <w:spacing w:after="180" w:line="240" w:lineRule="auto"/>
        <w:ind w:leftChars="0"/>
        <w:textAlignment w:val="auto"/>
        <w:rPr>
          <w:rFonts w:hint="eastAsia" w:ascii="Times New Roman" w:hAnsi="Times New Roman"/>
          <w:sz w:val="20"/>
          <w:szCs w:val="20"/>
        </w:rPr>
      </w:pPr>
    </w:p>
    <w:p w14:paraId="5F08F1C5">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5AA1F4B3">
      <w:pPr>
        <w:pStyle w:val="13"/>
        <w:framePr w:wrap="auto" w:vAnchor="margin" w:hAnchor="text" w:yAlign="inline"/>
        <w:numPr>
          <w:ilvl w:val="0"/>
          <w:numId w:val="12"/>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4D80BACE">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03C37C82">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38B2F24">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720AFE6D">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544A76EC">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0221EBB">
      <w:pPr>
        <w:pStyle w:val="13"/>
        <w:framePr w:wrap="auto" w:vAnchor="margin" w:hAnchor="text" w:yAlign="inline"/>
        <w:numPr>
          <w:ilvl w:val="0"/>
          <w:numId w:val="12"/>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49198761">
      <w:pPr>
        <w:pStyle w:val="13"/>
        <w:framePr w:wrap="auto" w:vAnchor="margin" w:hAnchor="text" w:yAlign="inline"/>
        <w:ind w:right="400"/>
        <w:jc w:val="both"/>
        <w:rPr>
          <w:rFonts w:ascii="Times" w:hAnsi="Times" w:eastAsia="宋体"/>
          <w:b w:val="0"/>
          <w:sz w:val="20"/>
          <w:lang w:eastAsia="zh-CN"/>
        </w:rPr>
      </w:pPr>
    </w:p>
    <w:p w14:paraId="49C24BC8">
      <w:pPr>
        <w:pStyle w:val="13"/>
        <w:framePr w:wrap="auto" w:vAnchor="margin" w:hAnchor="text" w:yAlign="inline"/>
        <w:ind w:right="400"/>
        <w:jc w:val="both"/>
        <w:rPr>
          <w:rFonts w:ascii="Times" w:hAnsi="Times" w:eastAsia="宋体"/>
          <w:b w:val="0"/>
          <w:sz w:val="20"/>
          <w:lang w:eastAsia="zh-CN"/>
        </w:rPr>
      </w:pPr>
    </w:p>
    <w:p w14:paraId="37201D62">
      <w:pPr>
        <w:pStyle w:val="13"/>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CE351"/>
    <w:multiLevelType w:val="singleLevel"/>
    <w:tmpl w:val="84BCE351"/>
    <w:lvl w:ilvl="0" w:tentative="0">
      <w:start w:val="1"/>
      <w:numFmt w:val="bullet"/>
      <w:lvlText w:val=""/>
      <w:lvlJc w:val="left"/>
      <w:pPr>
        <w:ind w:left="420" w:hanging="420"/>
      </w:pPr>
      <w:rPr>
        <w:rFonts w:hint="default" w:ascii="Wingdings" w:hAnsi="Wingdings"/>
      </w:rPr>
    </w:lvl>
  </w:abstractNum>
  <w:abstractNum w:abstractNumId="1">
    <w:nsid w:val="DDB78982"/>
    <w:multiLevelType w:val="singleLevel"/>
    <w:tmpl w:val="DDB78982"/>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11AF10B1"/>
    <w:multiLevelType w:val="multilevel"/>
    <w:tmpl w:val="11AF10B1"/>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4">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5">
    <w:nsid w:val="240BE3F3"/>
    <w:multiLevelType w:val="singleLevel"/>
    <w:tmpl w:val="240BE3F3"/>
    <w:lvl w:ilvl="0" w:tentative="0">
      <w:start w:val="1"/>
      <w:numFmt w:val="bullet"/>
      <w:lvlText w:val=""/>
      <w:lvlJc w:val="left"/>
      <w:pPr>
        <w:ind w:left="420" w:hanging="42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43F96F35"/>
    <w:multiLevelType w:val="multilevel"/>
    <w:tmpl w:val="43F96F35"/>
    <w:lvl w:ilvl="0" w:tentative="0">
      <w:start w:val="1"/>
      <w:numFmt w:val="bullet"/>
      <w:lvlText w:val="-"/>
      <w:lvlJc w:val="left"/>
      <w:pPr>
        <w:ind w:left="1979" w:hanging="360"/>
      </w:pPr>
      <w:rPr>
        <w:rFonts w:hint="default" w:ascii="Arial" w:hAnsi="Arial" w:eastAsia="宋体" w:cs="Arial"/>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2021533"/>
    <w:multiLevelType w:val="singleLevel"/>
    <w:tmpl w:val="62021533"/>
    <w:lvl w:ilvl="0" w:tentative="0">
      <w:start w:val="1"/>
      <w:numFmt w:val="bullet"/>
      <w:lvlText w:val=""/>
      <w:lvlJc w:val="left"/>
      <w:pPr>
        <w:ind w:left="42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78FF122D"/>
    <w:multiLevelType w:val="multilevel"/>
    <w:tmpl w:val="78FF122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6"/>
  </w:num>
  <w:num w:numId="3">
    <w:abstractNumId w:val="4"/>
  </w:num>
  <w:num w:numId="4">
    <w:abstractNumId w:val="8"/>
  </w:num>
  <w:num w:numId="5">
    <w:abstractNumId w:val="5"/>
  </w:num>
  <w:num w:numId="6">
    <w:abstractNumId w:val="3"/>
  </w:num>
  <w:num w:numId="7">
    <w:abstractNumId w:val="0"/>
  </w:num>
  <w:num w:numId="8">
    <w:abstractNumId w:val="7"/>
  </w:num>
  <w:num w:numId="9">
    <w:abstractNumId w:val="1"/>
  </w:num>
  <w:num w:numId="10">
    <w:abstractNumId w:val="11"/>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1EB2D5D"/>
    <w:rsid w:val="030F42DA"/>
    <w:rsid w:val="03237D85"/>
    <w:rsid w:val="039B37C7"/>
    <w:rsid w:val="03B64756"/>
    <w:rsid w:val="05581271"/>
    <w:rsid w:val="07FB36A6"/>
    <w:rsid w:val="08320503"/>
    <w:rsid w:val="095F3199"/>
    <w:rsid w:val="0BDA3067"/>
    <w:rsid w:val="0D4032E2"/>
    <w:rsid w:val="103462C0"/>
    <w:rsid w:val="11144517"/>
    <w:rsid w:val="12096398"/>
    <w:rsid w:val="13BE2E36"/>
    <w:rsid w:val="13E54515"/>
    <w:rsid w:val="154B4C98"/>
    <w:rsid w:val="17C90DC6"/>
    <w:rsid w:val="1B0C6C17"/>
    <w:rsid w:val="1C6D7577"/>
    <w:rsid w:val="1DE86925"/>
    <w:rsid w:val="1E262080"/>
    <w:rsid w:val="1EA13FCF"/>
    <w:rsid w:val="20A67B9D"/>
    <w:rsid w:val="21B75A90"/>
    <w:rsid w:val="21F229A5"/>
    <w:rsid w:val="22F84732"/>
    <w:rsid w:val="25BF43FD"/>
    <w:rsid w:val="29521D5A"/>
    <w:rsid w:val="296A6325"/>
    <w:rsid w:val="2A456A43"/>
    <w:rsid w:val="2A9C3DF6"/>
    <w:rsid w:val="2BCA2C0E"/>
    <w:rsid w:val="2DCC054E"/>
    <w:rsid w:val="2EFF4953"/>
    <w:rsid w:val="31B53264"/>
    <w:rsid w:val="32BC3287"/>
    <w:rsid w:val="34357F34"/>
    <w:rsid w:val="351D1843"/>
    <w:rsid w:val="3850290E"/>
    <w:rsid w:val="39A706A6"/>
    <w:rsid w:val="3AF811CC"/>
    <w:rsid w:val="3B3B31B7"/>
    <w:rsid w:val="3FF257A0"/>
    <w:rsid w:val="41597CC1"/>
    <w:rsid w:val="41872D8F"/>
    <w:rsid w:val="43D91B27"/>
    <w:rsid w:val="44ED5522"/>
    <w:rsid w:val="45251780"/>
    <w:rsid w:val="462406C5"/>
    <w:rsid w:val="46302433"/>
    <w:rsid w:val="46EB509D"/>
    <w:rsid w:val="47834097"/>
    <w:rsid w:val="486C7D0F"/>
    <w:rsid w:val="48BC1FC7"/>
    <w:rsid w:val="48BD345D"/>
    <w:rsid w:val="49507E2D"/>
    <w:rsid w:val="4AAA7A11"/>
    <w:rsid w:val="4CB30463"/>
    <w:rsid w:val="4F01352B"/>
    <w:rsid w:val="50AC3D18"/>
    <w:rsid w:val="5140185C"/>
    <w:rsid w:val="521A547C"/>
    <w:rsid w:val="539B5A3F"/>
    <w:rsid w:val="561B4F52"/>
    <w:rsid w:val="56582839"/>
    <w:rsid w:val="56B72852"/>
    <w:rsid w:val="5798278D"/>
    <w:rsid w:val="5951002F"/>
    <w:rsid w:val="59A65848"/>
    <w:rsid w:val="5AAC5686"/>
    <w:rsid w:val="5C491F27"/>
    <w:rsid w:val="5CF63611"/>
    <w:rsid w:val="5E176D14"/>
    <w:rsid w:val="5EF17565"/>
    <w:rsid w:val="606210AF"/>
    <w:rsid w:val="617674D6"/>
    <w:rsid w:val="61DF3A9F"/>
    <w:rsid w:val="676E7F3D"/>
    <w:rsid w:val="67A4673A"/>
    <w:rsid w:val="695006C3"/>
    <w:rsid w:val="69BB3005"/>
    <w:rsid w:val="6C642F64"/>
    <w:rsid w:val="6CD12293"/>
    <w:rsid w:val="71997D14"/>
    <w:rsid w:val="71A82806"/>
    <w:rsid w:val="73C17630"/>
    <w:rsid w:val="73F67ACD"/>
    <w:rsid w:val="75A5650E"/>
    <w:rsid w:val="76926517"/>
    <w:rsid w:val="774F4C00"/>
    <w:rsid w:val="77B91A3C"/>
    <w:rsid w:val="77F160D3"/>
    <w:rsid w:val="79670D3F"/>
    <w:rsid w:val="7AF91DFD"/>
    <w:rsid w:val="7B2C09D1"/>
    <w:rsid w:val="7C07400A"/>
    <w:rsid w:val="7D67744A"/>
    <w:rsid w:val="7D796C4C"/>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2</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2025-03-28T07:39:16Z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